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C615B8" w14:textId="256F2FD7" w:rsidR="000B6690" w:rsidRPr="000B6690" w:rsidRDefault="000B6690" w:rsidP="000B6690">
      <w:pPr>
        <w:tabs>
          <w:tab w:val="right" w:pos="9639"/>
        </w:tabs>
        <w:overflowPunct w:val="0"/>
        <w:autoSpaceDE w:val="0"/>
        <w:autoSpaceDN w:val="0"/>
        <w:adjustRightInd w:val="0"/>
        <w:jc w:val="left"/>
        <w:textAlignment w:val="baseline"/>
        <w:rPr>
          <w:rFonts w:ascii="Arial" w:eastAsia="宋体" w:hAnsi="Arial" w:cs="Arial"/>
          <w:b/>
          <w:noProof/>
          <w:kern w:val="0"/>
          <w:sz w:val="24"/>
          <w:szCs w:val="20"/>
        </w:rPr>
      </w:pPr>
      <w:r w:rsidRPr="000B6690">
        <w:rPr>
          <w:rFonts w:ascii="Arial" w:eastAsia="宋体" w:hAnsi="Arial" w:cs="Arial"/>
          <w:b/>
          <w:noProof/>
          <w:kern w:val="0"/>
          <w:sz w:val="24"/>
          <w:szCs w:val="20"/>
        </w:rPr>
        <w:t>3GPP TSG-RAN WG2 Meeting #1</w:t>
      </w:r>
      <w:r w:rsidR="0080763E">
        <w:rPr>
          <w:rFonts w:ascii="Arial" w:eastAsia="宋体" w:hAnsi="Arial" w:cs="Arial"/>
          <w:b/>
          <w:noProof/>
          <w:kern w:val="0"/>
          <w:sz w:val="24"/>
          <w:szCs w:val="20"/>
        </w:rPr>
        <w:t>2</w:t>
      </w:r>
      <w:r w:rsidR="00FB2DC5">
        <w:rPr>
          <w:rFonts w:ascii="Arial" w:eastAsia="宋体" w:hAnsi="Arial" w:cs="Arial"/>
          <w:b/>
          <w:noProof/>
          <w:kern w:val="0"/>
          <w:sz w:val="24"/>
          <w:szCs w:val="20"/>
        </w:rPr>
        <w:t>1</w:t>
      </w:r>
      <w:r w:rsidR="001229AC">
        <w:rPr>
          <w:rFonts w:ascii="Arial" w:eastAsia="宋体" w:hAnsi="Arial" w:cs="Arial"/>
          <w:b/>
          <w:noProof/>
          <w:kern w:val="0"/>
          <w:sz w:val="24"/>
          <w:szCs w:val="20"/>
        </w:rPr>
        <w:t>bis-e</w:t>
      </w:r>
      <w:r w:rsidRPr="000B6690">
        <w:rPr>
          <w:rFonts w:ascii="Arial" w:eastAsia="宋体" w:hAnsi="Arial" w:cs="Arial"/>
          <w:b/>
          <w:noProof/>
          <w:kern w:val="0"/>
          <w:sz w:val="24"/>
          <w:szCs w:val="20"/>
        </w:rPr>
        <w:tab/>
      </w:r>
      <w:r w:rsidR="007C7FDE" w:rsidRPr="007C7FDE">
        <w:rPr>
          <w:rFonts w:ascii="Arial" w:eastAsia="宋体" w:hAnsi="Arial" w:cs="Arial"/>
          <w:b/>
          <w:noProof/>
          <w:kern w:val="0"/>
          <w:sz w:val="24"/>
          <w:szCs w:val="20"/>
        </w:rPr>
        <w:t>R2-</w:t>
      </w:r>
      <w:r w:rsidR="00BE3ECD" w:rsidRPr="00BE3ECD">
        <w:t xml:space="preserve"> </w:t>
      </w:r>
      <w:r w:rsidR="006D4F64" w:rsidRPr="006D4F64">
        <w:rPr>
          <w:rFonts w:ascii="Arial" w:eastAsia="宋体" w:hAnsi="Arial" w:cs="Arial"/>
          <w:b/>
          <w:noProof/>
          <w:kern w:val="0"/>
          <w:sz w:val="24"/>
          <w:szCs w:val="20"/>
        </w:rPr>
        <w:t>2</w:t>
      </w:r>
      <w:r w:rsidR="00FB2DC5">
        <w:rPr>
          <w:rFonts w:ascii="Arial" w:eastAsia="宋体" w:hAnsi="Arial" w:cs="Arial"/>
          <w:b/>
          <w:noProof/>
          <w:kern w:val="0"/>
          <w:sz w:val="24"/>
          <w:szCs w:val="20"/>
        </w:rPr>
        <w:t>30</w:t>
      </w:r>
      <w:r w:rsidR="00236C71">
        <w:rPr>
          <w:rFonts w:ascii="Arial" w:eastAsia="宋体" w:hAnsi="Arial" w:cs="Arial"/>
          <w:b/>
          <w:noProof/>
          <w:kern w:val="0"/>
          <w:sz w:val="24"/>
          <w:szCs w:val="20"/>
        </w:rPr>
        <w:t>3242</w:t>
      </w:r>
    </w:p>
    <w:p w14:paraId="4BF14776" w14:textId="23C2853E" w:rsidR="00AA3FAE" w:rsidRPr="005B2E70" w:rsidRDefault="001229AC" w:rsidP="000B6690">
      <w:pPr>
        <w:tabs>
          <w:tab w:val="right" w:pos="9630"/>
        </w:tabs>
        <w:overflowPunct w:val="0"/>
        <w:autoSpaceDE w:val="0"/>
        <w:autoSpaceDN w:val="0"/>
        <w:adjustRightInd w:val="0"/>
        <w:jc w:val="left"/>
        <w:textAlignment w:val="baseline"/>
        <w:rPr>
          <w:rFonts w:ascii="Arial" w:eastAsia="宋体" w:hAnsi="Arial" w:cs="Arial"/>
          <w:b/>
          <w:noProof/>
          <w:kern w:val="0"/>
          <w:sz w:val="24"/>
          <w:szCs w:val="20"/>
        </w:rPr>
      </w:pPr>
      <w:r>
        <w:rPr>
          <w:rFonts w:ascii="Arial" w:eastAsia="宋体" w:hAnsi="Arial" w:cs="黑体"/>
          <w:b/>
          <w:bCs/>
          <w:noProof/>
          <w:kern w:val="0"/>
          <w:sz w:val="24"/>
        </w:rPr>
        <w:t>Online,</w:t>
      </w:r>
      <w:r w:rsidR="00FB2DC5">
        <w:rPr>
          <w:rFonts w:ascii="Arial" w:eastAsia="宋体" w:hAnsi="Arial" w:cs="黑体"/>
          <w:b/>
          <w:bCs/>
          <w:noProof/>
          <w:kern w:val="0"/>
          <w:sz w:val="24"/>
        </w:rPr>
        <w:t xml:space="preserve"> </w:t>
      </w:r>
      <w:r>
        <w:rPr>
          <w:rFonts w:ascii="Arial" w:eastAsia="宋体" w:hAnsi="Arial" w:cs="黑体"/>
          <w:b/>
          <w:bCs/>
          <w:noProof/>
          <w:kern w:val="0"/>
          <w:sz w:val="24"/>
        </w:rPr>
        <w:t>1</w:t>
      </w:r>
      <w:r w:rsidR="00FB2DC5">
        <w:rPr>
          <w:rFonts w:ascii="Arial" w:eastAsia="宋体" w:hAnsi="Arial" w:cs="黑体"/>
          <w:b/>
          <w:bCs/>
          <w:noProof/>
          <w:kern w:val="0"/>
          <w:sz w:val="24"/>
        </w:rPr>
        <w:t>7</w:t>
      </w:r>
      <w:r w:rsidR="00FB2DC5">
        <w:rPr>
          <w:rFonts w:ascii="Arial" w:eastAsia="宋体" w:hAnsi="Arial" w:cs="黑体" w:hint="eastAsia"/>
          <w:b/>
          <w:bCs/>
          <w:noProof/>
          <w:kern w:val="0"/>
          <w:sz w:val="24"/>
          <w:vertAlign w:val="superscript"/>
        </w:rPr>
        <w:t>t</w:t>
      </w:r>
      <w:r w:rsidR="00FB2DC5">
        <w:rPr>
          <w:rFonts w:ascii="Arial" w:eastAsia="宋体" w:hAnsi="Arial" w:cs="黑体"/>
          <w:b/>
          <w:bCs/>
          <w:noProof/>
          <w:kern w:val="0"/>
          <w:sz w:val="24"/>
          <w:vertAlign w:val="superscript"/>
        </w:rPr>
        <w:t>h</w:t>
      </w:r>
      <w:r>
        <w:rPr>
          <w:rFonts w:ascii="Arial" w:eastAsia="宋体" w:hAnsi="Arial" w:cs="黑体"/>
          <w:b/>
          <w:bCs/>
          <w:noProof/>
          <w:kern w:val="0"/>
          <w:sz w:val="24"/>
        </w:rPr>
        <w:t xml:space="preserve"> </w:t>
      </w:r>
      <w:r w:rsidR="00FB2DC5" w:rsidRPr="00A26D85">
        <w:rPr>
          <w:rFonts w:ascii="Arial" w:eastAsia="宋体" w:hAnsi="Arial" w:cs="黑体"/>
          <w:b/>
          <w:bCs/>
          <w:noProof/>
          <w:kern w:val="0"/>
          <w:sz w:val="24"/>
        </w:rPr>
        <w:t xml:space="preserve">– </w:t>
      </w:r>
      <w:r>
        <w:rPr>
          <w:rFonts w:ascii="Arial" w:eastAsia="宋体" w:hAnsi="Arial" w:cs="黑体"/>
          <w:b/>
          <w:bCs/>
          <w:noProof/>
          <w:kern w:val="0"/>
          <w:sz w:val="24"/>
        </w:rPr>
        <w:t>26</w:t>
      </w:r>
      <w:r>
        <w:rPr>
          <w:rFonts w:ascii="Arial" w:eastAsia="宋体" w:hAnsi="Arial" w:cs="黑体"/>
          <w:b/>
          <w:bCs/>
          <w:noProof/>
          <w:kern w:val="0"/>
          <w:sz w:val="24"/>
          <w:vertAlign w:val="superscript"/>
        </w:rPr>
        <w:t>th</w:t>
      </w:r>
      <w:r w:rsidR="00FB2DC5" w:rsidRPr="00A26D85">
        <w:rPr>
          <w:rFonts w:ascii="Arial" w:eastAsia="宋体" w:hAnsi="Arial" w:cs="黑体"/>
          <w:b/>
          <w:bCs/>
          <w:noProof/>
          <w:kern w:val="0"/>
          <w:sz w:val="24"/>
        </w:rPr>
        <w:t xml:space="preserve"> </w:t>
      </w:r>
      <w:r>
        <w:rPr>
          <w:rFonts w:ascii="Arial" w:eastAsia="宋体" w:hAnsi="Arial" w:cs="黑体"/>
          <w:b/>
          <w:bCs/>
          <w:noProof/>
          <w:kern w:val="0"/>
          <w:sz w:val="24"/>
        </w:rPr>
        <w:t>April</w:t>
      </w:r>
      <w:r w:rsidR="00FB2DC5" w:rsidRPr="00A26D85">
        <w:rPr>
          <w:rFonts w:ascii="Arial" w:eastAsia="宋体" w:hAnsi="Arial" w:cs="黑体"/>
          <w:b/>
          <w:bCs/>
          <w:noProof/>
          <w:kern w:val="0"/>
          <w:sz w:val="24"/>
        </w:rPr>
        <w:t>, 202</w:t>
      </w:r>
      <w:r w:rsidR="00FB2DC5">
        <w:rPr>
          <w:rFonts w:ascii="Arial" w:eastAsia="宋体" w:hAnsi="Arial" w:cs="黑体"/>
          <w:b/>
          <w:bCs/>
          <w:noProof/>
          <w:kern w:val="0"/>
          <w:sz w:val="24"/>
        </w:rPr>
        <w:t>3</w:t>
      </w:r>
      <w:r w:rsidR="005B2E70">
        <w:rPr>
          <w:rFonts w:ascii="Arial" w:eastAsia="宋体" w:hAnsi="Arial" w:cs="Arial"/>
          <w:b/>
          <w:noProof/>
          <w:kern w:val="0"/>
          <w:sz w:val="24"/>
          <w:szCs w:val="20"/>
        </w:rPr>
        <w:tab/>
      </w:r>
      <w:r w:rsidR="00AA3FAE" w:rsidRPr="00AA3FAE">
        <w:rPr>
          <w:rFonts w:ascii="Arial" w:eastAsia="宋体" w:hAnsi="Arial" w:cs="黑体"/>
          <w:b/>
          <w:bCs/>
          <w:kern w:val="0"/>
          <w:sz w:val="24"/>
          <w:lang w:val="en-GB"/>
        </w:rPr>
        <w:tab/>
      </w:r>
      <w:r w:rsidR="00AA3FAE" w:rsidRPr="000B09C9">
        <w:rPr>
          <w:rFonts w:ascii="Arial" w:eastAsia="Dotum" w:hAnsi="Arial" w:cs="Times New Roman"/>
          <w:b/>
          <w:bCs/>
          <w:kern w:val="0"/>
          <w:sz w:val="24"/>
          <w:szCs w:val="18"/>
          <w:lang w:val="en-GB"/>
        </w:rPr>
        <w:tab/>
      </w:r>
    </w:p>
    <w:p w14:paraId="0A8C0162" w14:textId="021A2513" w:rsidR="006F3844" w:rsidRDefault="006F3844" w:rsidP="006F3844">
      <w:pPr>
        <w:widowControl/>
        <w:tabs>
          <w:tab w:val="left" w:pos="1701"/>
          <w:tab w:val="right" w:pos="9639"/>
        </w:tabs>
        <w:overflowPunct w:val="0"/>
        <w:autoSpaceDE w:val="0"/>
        <w:autoSpaceDN w:val="0"/>
        <w:adjustRightInd w:val="0"/>
        <w:spacing w:after="240"/>
        <w:textAlignment w:val="baseline"/>
        <w:rPr>
          <w:rFonts w:ascii="Arial" w:eastAsia="宋体" w:hAnsi="Arial" w:cs="Times New Roman"/>
          <w:b/>
          <w:bCs/>
          <w:kern w:val="0"/>
          <w:sz w:val="22"/>
          <w:szCs w:val="20"/>
          <w:lang w:val="en-GB"/>
        </w:rPr>
      </w:pPr>
      <w:r w:rsidRPr="00733434">
        <w:rPr>
          <w:rFonts w:ascii="Arial" w:eastAsia="宋体" w:hAnsi="Arial" w:cs="Times New Roman"/>
          <w:b/>
          <w:bCs/>
          <w:kern w:val="0"/>
          <w:sz w:val="22"/>
          <w:szCs w:val="20"/>
          <w:lang w:val="en-GB"/>
        </w:rPr>
        <w:t>Agenda Item:</w:t>
      </w:r>
      <w:r w:rsidRPr="00733434">
        <w:rPr>
          <w:rFonts w:ascii="Arial" w:eastAsia="宋体" w:hAnsi="Arial" w:cs="Times New Roman"/>
          <w:b/>
          <w:bCs/>
          <w:kern w:val="0"/>
          <w:sz w:val="22"/>
          <w:szCs w:val="20"/>
          <w:lang w:val="en-GB"/>
        </w:rPr>
        <w:tab/>
      </w:r>
      <w:r w:rsidR="00166E1C">
        <w:rPr>
          <w:rFonts w:ascii="Arial" w:eastAsia="宋体" w:hAnsi="Arial" w:cs="Times New Roman"/>
          <w:b/>
          <w:bCs/>
          <w:kern w:val="0"/>
          <w:sz w:val="22"/>
          <w:szCs w:val="20"/>
          <w:lang w:val="en-GB"/>
        </w:rPr>
        <w:t>7</w:t>
      </w:r>
      <w:r w:rsidRPr="000B09C9">
        <w:rPr>
          <w:rFonts w:ascii="Arial" w:eastAsia="宋体" w:hAnsi="Arial" w:cs="Times New Roman"/>
          <w:b/>
          <w:bCs/>
          <w:kern w:val="0"/>
          <w:sz w:val="22"/>
          <w:szCs w:val="20"/>
          <w:lang w:val="en-GB"/>
        </w:rPr>
        <w:t>.</w:t>
      </w:r>
      <w:r w:rsidR="005039F0">
        <w:rPr>
          <w:rFonts w:ascii="Arial" w:eastAsia="宋体" w:hAnsi="Arial" w:cs="Times New Roman"/>
          <w:b/>
          <w:bCs/>
          <w:kern w:val="0"/>
          <w:sz w:val="22"/>
          <w:szCs w:val="20"/>
          <w:lang w:val="en-GB"/>
        </w:rPr>
        <w:t>12</w:t>
      </w:r>
      <w:r w:rsidR="00175A07">
        <w:rPr>
          <w:rFonts w:ascii="Arial" w:eastAsia="宋体" w:hAnsi="Arial" w:cs="Times New Roman"/>
          <w:b/>
          <w:bCs/>
          <w:kern w:val="0"/>
          <w:sz w:val="22"/>
          <w:szCs w:val="20"/>
          <w:lang w:val="en-GB"/>
        </w:rPr>
        <w:t>.</w:t>
      </w:r>
      <w:r w:rsidR="007E0AA7">
        <w:rPr>
          <w:rFonts w:ascii="Arial" w:eastAsia="宋体" w:hAnsi="Arial" w:cs="Times New Roman"/>
          <w:b/>
          <w:bCs/>
          <w:kern w:val="0"/>
          <w:sz w:val="22"/>
          <w:szCs w:val="20"/>
          <w:lang w:val="en-GB"/>
        </w:rPr>
        <w:t>2</w:t>
      </w:r>
      <w:r w:rsidR="00166E1C">
        <w:rPr>
          <w:rFonts w:ascii="Arial" w:eastAsia="宋体" w:hAnsi="Arial" w:cs="Times New Roman"/>
          <w:b/>
          <w:bCs/>
          <w:kern w:val="0"/>
          <w:sz w:val="22"/>
          <w:szCs w:val="20"/>
          <w:lang w:val="en-GB"/>
        </w:rPr>
        <w:t>.1</w:t>
      </w:r>
    </w:p>
    <w:p w14:paraId="3A7B9F35" w14:textId="565143AE" w:rsidR="00AA3FAE" w:rsidRPr="000B09C9" w:rsidRDefault="00AA3FAE" w:rsidP="00AA3FAE">
      <w:pPr>
        <w:widowControl/>
        <w:tabs>
          <w:tab w:val="left" w:pos="1701"/>
          <w:tab w:val="right" w:pos="9639"/>
        </w:tabs>
        <w:overflowPunct w:val="0"/>
        <w:autoSpaceDE w:val="0"/>
        <w:autoSpaceDN w:val="0"/>
        <w:adjustRightInd w:val="0"/>
        <w:spacing w:after="240"/>
        <w:textAlignment w:val="baseline"/>
        <w:rPr>
          <w:rFonts w:ascii="Arial" w:eastAsia="宋体" w:hAnsi="Arial" w:cs="Times New Roman"/>
          <w:b/>
          <w:bCs/>
          <w:kern w:val="0"/>
          <w:sz w:val="22"/>
          <w:szCs w:val="20"/>
          <w:lang w:val="en-GB"/>
        </w:rPr>
      </w:pPr>
      <w:r w:rsidRPr="00733434">
        <w:rPr>
          <w:rFonts w:ascii="Arial" w:eastAsia="宋体" w:hAnsi="Arial" w:cs="Times New Roman"/>
          <w:b/>
          <w:bCs/>
          <w:kern w:val="0"/>
          <w:sz w:val="22"/>
          <w:szCs w:val="20"/>
          <w:lang w:val="en-GB"/>
        </w:rPr>
        <w:t xml:space="preserve">Source: </w:t>
      </w:r>
      <w:r w:rsidRPr="00733434">
        <w:rPr>
          <w:rFonts w:ascii="Arial" w:eastAsia="宋体" w:hAnsi="Arial" w:cs="Times New Roman"/>
          <w:b/>
          <w:bCs/>
          <w:kern w:val="0"/>
          <w:sz w:val="22"/>
          <w:szCs w:val="20"/>
          <w:lang w:val="en-GB"/>
        </w:rPr>
        <w:tab/>
      </w:r>
      <w:r w:rsidRPr="000B09C9">
        <w:rPr>
          <w:rFonts w:ascii="Arial" w:eastAsia="宋体" w:hAnsi="Arial" w:cs="Times New Roman"/>
          <w:b/>
          <w:bCs/>
          <w:kern w:val="0"/>
          <w:sz w:val="22"/>
          <w:szCs w:val="20"/>
          <w:lang w:val="en-GB"/>
        </w:rPr>
        <w:t>Lenovo</w:t>
      </w:r>
    </w:p>
    <w:p w14:paraId="396CAC10" w14:textId="335C6CD7" w:rsidR="006F3844" w:rsidRPr="006F3844" w:rsidRDefault="006F3844" w:rsidP="006F3844">
      <w:pPr>
        <w:widowControl/>
        <w:tabs>
          <w:tab w:val="left" w:pos="1701"/>
          <w:tab w:val="right" w:pos="9639"/>
        </w:tabs>
        <w:overflowPunct w:val="0"/>
        <w:autoSpaceDE w:val="0"/>
        <w:autoSpaceDN w:val="0"/>
        <w:adjustRightInd w:val="0"/>
        <w:spacing w:after="240"/>
        <w:ind w:left="3865" w:hangingChars="1750" w:hanging="3865"/>
        <w:textAlignment w:val="baseline"/>
        <w:rPr>
          <w:rFonts w:ascii="Arial" w:hAnsi="Arial" w:cs="Times New Roman"/>
          <w:b/>
          <w:bCs/>
          <w:kern w:val="0"/>
          <w:sz w:val="22"/>
          <w:szCs w:val="20"/>
          <w:lang w:val="en-GB"/>
        </w:rPr>
      </w:pPr>
      <w:r w:rsidRPr="00733434">
        <w:rPr>
          <w:rFonts w:ascii="Arial" w:eastAsia="宋体" w:hAnsi="Arial" w:cs="Times New Roman"/>
          <w:b/>
          <w:bCs/>
          <w:kern w:val="0"/>
          <w:sz w:val="22"/>
          <w:szCs w:val="20"/>
          <w:lang w:val="en-GB"/>
        </w:rPr>
        <w:t xml:space="preserve">Title: </w:t>
      </w:r>
      <w:r w:rsidRPr="00733434">
        <w:rPr>
          <w:rFonts w:ascii="Arial" w:eastAsia="宋体" w:hAnsi="Arial" w:cs="Times New Roman"/>
          <w:b/>
          <w:bCs/>
          <w:kern w:val="0"/>
          <w:sz w:val="22"/>
          <w:szCs w:val="20"/>
          <w:lang w:val="en-GB"/>
        </w:rPr>
        <w:tab/>
      </w:r>
      <w:r w:rsidR="00253AF0" w:rsidRPr="00253AF0">
        <w:rPr>
          <w:rFonts w:ascii="Arial" w:eastAsia="宋体" w:hAnsi="Arial" w:cs="Times New Roman"/>
          <w:b/>
          <w:bCs/>
          <w:kern w:val="0"/>
          <w:sz w:val="22"/>
          <w:szCs w:val="20"/>
          <w:lang w:val="en-GB"/>
        </w:rPr>
        <w:t xml:space="preserve">Mobility enhancements for mobile IAB-node and its </w:t>
      </w:r>
      <w:r w:rsidR="00D248E0">
        <w:rPr>
          <w:rFonts w:ascii="Arial" w:eastAsia="宋体" w:hAnsi="Arial" w:cs="Times New Roman"/>
          <w:b/>
          <w:bCs/>
          <w:kern w:val="0"/>
          <w:sz w:val="22"/>
          <w:szCs w:val="20"/>
          <w:lang w:val="en-GB"/>
        </w:rPr>
        <w:t>connected</w:t>
      </w:r>
      <w:r w:rsidR="00253AF0" w:rsidRPr="00253AF0">
        <w:rPr>
          <w:rFonts w:ascii="Arial" w:eastAsia="宋体" w:hAnsi="Arial" w:cs="Times New Roman"/>
          <w:b/>
          <w:bCs/>
          <w:kern w:val="0"/>
          <w:sz w:val="22"/>
          <w:szCs w:val="20"/>
          <w:lang w:val="en-GB"/>
        </w:rPr>
        <w:t xml:space="preserve"> UE</w:t>
      </w:r>
    </w:p>
    <w:p w14:paraId="586F74AD" w14:textId="77777777" w:rsidR="00AA3FAE" w:rsidRPr="000B09C9" w:rsidRDefault="00AA3FAE" w:rsidP="00AA3FAE">
      <w:pPr>
        <w:widowControl/>
        <w:tabs>
          <w:tab w:val="left" w:pos="1701"/>
          <w:tab w:val="right" w:pos="9639"/>
        </w:tabs>
        <w:overflowPunct w:val="0"/>
        <w:autoSpaceDE w:val="0"/>
        <w:autoSpaceDN w:val="0"/>
        <w:adjustRightInd w:val="0"/>
        <w:spacing w:after="240"/>
        <w:textAlignment w:val="baseline"/>
        <w:rPr>
          <w:rFonts w:ascii="Arial" w:eastAsia="宋体" w:hAnsi="Arial" w:cs="Times New Roman"/>
          <w:b/>
          <w:bCs/>
          <w:kern w:val="0"/>
          <w:sz w:val="22"/>
          <w:szCs w:val="20"/>
          <w:lang w:val="en-GB"/>
        </w:rPr>
      </w:pPr>
      <w:r w:rsidRPr="00733434">
        <w:rPr>
          <w:rFonts w:ascii="Arial" w:eastAsia="宋体" w:hAnsi="Arial" w:cs="Times New Roman"/>
          <w:b/>
          <w:bCs/>
          <w:kern w:val="0"/>
          <w:sz w:val="22"/>
          <w:szCs w:val="20"/>
          <w:lang w:val="en-GB"/>
        </w:rPr>
        <w:t>Document for:</w:t>
      </w:r>
      <w:r w:rsidRPr="00733434">
        <w:rPr>
          <w:rFonts w:ascii="Arial" w:eastAsia="宋体" w:hAnsi="Arial" w:cs="Times New Roman"/>
          <w:b/>
          <w:bCs/>
          <w:kern w:val="0"/>
          <w:sz w:val="22"/>
          <w:szCs w:val="20"/>
          <w:lang w:val="en-GB"/>
        </w:rPr>
        <w:tab/>
      </w:r>
      <w:r w:rsidRPr="000B09C9">
        <w:rPr>
          <w:rFonts w:ascii="Arial" w:eastAsia="宋体" w:hAnsi="Arial" w:cs="Times New Roman"/>
          <w:b/>
          <w:bCs/>
          <w:kern w:val="0"/>
          <w:sz w:val="22"/>
          <w:szCs w:val="20"/>
          <w:lang w:val="en-GB"/>
        </w:rPr>
        <w:t>Discussion and decision</w:t>
      </w:r>
    </w:p>
    <w:p w14:paraId="46DBFDB8" w14:textId="10C31FE6" w:rsidR="00AA3FAE" w:rsidRPr="000D2B2B" w:rsidRDefault="00AA3FAE" w:rsidP="000D2B2B">
      <w:pPr>
        <w:pStyle w:val="ac"/>
        <w:keepNext/>
        <w:keepLines/>
        <w:widowControl/>
        <w:numPr>
          <w:ilvl w:val="0"/>
          <w:numId w:val="5"/>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Dotum" w:hAnsi="Arial" w:cs="Times New Roman"/>
          <w:kern w:val="0"/>
          <w:sz w:val="36"/>
          <w:szCs w:val="36"/>
          <w:lang w:val="en-GB"/>
        </w:rPr>
      </w:pPr>
      <w:r w:rsidRPr="000D2B2B">
        <w:rPr>
          <w:rFonts w:ascii="Arial" w:eastAsia="Dotum" w:hAnsi="Arial" w:cs="Times New Roman"/>
          <w:kern w:val="0"/>
          <w:sz w:val="36"/>
          <w:szCs w:val="36"/>
          <w:lang w:val="en-GB"/>
        </w:rPr>
        <w:t>Introduction</w:t>
      </w:r>
      <w:bookmarkStart w:id="0" w:name="_Ref174151459"/>
      <w:bookmarkStart w:id="1" w:name="_Ref189809556"/>
    </w:p>
    <w:p w14:paraId="0B56E0A4" w14:textId="77777777" w:rsidR="00A61DF4" w:rsidRDefault="00A61DF4" w:rsidP="00A61DF4">
      <w:pPr>
        <w:widowControl/>
        <w:overflowPunct w:val="0"/>
        <w:autoSpaceDE w:val="0"/>
        <w:autoSpaceDN w:val="0"/>
        <w:adjustRightInd w:val="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A new WID for mobile IAB-node [1] has been approved to be discussed in Rel-18, and following detail objectives are identified mainly focus on RAN3 and RAN2.</w:t>
      </w:r>
    </w:p>
    <w:tbl>
      <w:tblPr>
        <w:tblpPr w:leftFromText="180" w:rightFromText="180" w:vertAnchor="text" w:tblpX="11" w:tblpY="171"/>
        <w:tblW w:w="9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70"/>
      </w:tblGrid>
      <w:tr w:rsidR="00A61DF4" w14:paraId="059CB986" w14:textId="77777777" w:rsidTr="00F32368">
        <w:trPr>
          <w:trHeight w:val="1266"/>
        </w:trPr>
        <w:tc>
          <w:tcPr>
            <w:tcW w:w="9670" w:type="dxa"/>
          </w:tcPr>
          <w:p w14:paraId="73BCEB24" w14:textId="77777777" w:rsidR="00712DD9" w:rsidRPr="00712DD9" w:rsidRDefault="00712DD9" w:rsidP="00712DD9">
            <w:pPr>
              <w:pStyle w:val="maintext"/>
              <w:numPr>
                <w:ilvl w:val="0"/>
                <w:numId w:val="16"/>
              </w:numPr>
              <w:spacing w:line="240" w:lineRule="auto"/>
              <w:ind w:firstLineChars="0"/>
              <w:rPr>
                <w:rFonts w:eastAsia="Times New Roman" w:cs="Times New Roman"/>
                <w:lang w:eastAsia="en-US"/>
              </w:rPr>
            </w:pPr>
            <w:r w:rsidRPr="00712DD9">
              <w:rPr>
                <w:rFonts w:eastAsia="Times New Roman" w:cs="Times New Roman"/>
                <w:lang w:eastAsia="en-US"/>
              </w:rPr>
              <w:t>Define Procedures for migration/topology adaptation to enable IAB-node mobility, including inter-donor migration of the entire mobile IAB-node (full migration) [RAN3, RAN2]</w:t>
            </w:r>
          </w:p>
          <w:p w14:paraId="3195C568" w14:textId="77777777" w:rsidR="00712DD9" w:rsidRPr="00712DD9" w:rsidRDefault="00712DD9" w:rsidP="00712DD9">
            <w:pPr>
              <w:pStyle w:val="maintext"/>
              <w:numPr>
                <w:ilvl w:val="1"/>
                <w:numId w:val="16"/>
              </w:numPr>
              <w:spacing w:line="240" w:lineRule="auto"/>
              <w:ind w:firstLineChars="0"/>
              <w:rPr>
                <w:rFonts w:eastAsia="Times New Roman" w:cs="Times New Roman"/>
                <w:lang w:eastAsia="en-US"/>
              </w:rPr>
            </w:pPr>
            <w:r w:rsidRPr="00712DD9">
              <w:rPr>
                <w:rFonts w:eastAsia="Times New Roman" w:cs="Times New Roman"/>
                <w:lang w:eastAsia="en-US"/>
              </w:rPr>
              <w:t>The mobile IAB-node can connect to a stationary (intermediate) IAB-node. Optimizations specific to the scenarios, where the mobile IAB-node connects to a stationary (intermediate) IAB-node, or where it directly connects to an IAB-donor-DU are de-prioritized.</w:t>
            </w:r>
          </w:p>
          <w:p w14:paraId="59C2EE09" w14:textId="77777777" w:rsidR="00712DD9" w:rsidRPr="00712DD9" w:rsidRDefault="00712DD9" w:rsidP="00712DD9">
            <w:pPr>
              <w:pStyle w:val="maintext"/>
              <w:numPr>
                <w:ilvl w:val="1"/>
                <w:numId w:val="16"/>
              </w:numPr>
              <w:spacing w:line="240" w:lineRule="auto"/>
              <w:ind w:firstLineChars="0"/>
              <w:rPr>
                <w:rFonts w:eastAsia="Times New Roman" w:cs="Times New Roman"/>
                <w:lang w:eastAsia="en-US"/>
              </w:rPr>
            </w:pPr>
            <w:r w:rsidRPr="00712DD9">
              <w:rPr>
                <w:rFonts w:eastAsia="Times New Roman" w:cs="Times New Roman"/>
                <w:lang w:eastAsia="en-US"/>
              </w:rPr>
              <w:t>The mobility of dual-connected IAB-nodes is down-prioritized.</w:t>
            </w:r>
          </w:p>
          <w:p w14:paraId="2632C582" w14:textId="77777777" w:rsidR="00712DD9" w:rsidRPr="00712DD9" w:rsidRDefault="00712DD9" w:rsidP="00712DD9">
            <w:pPr>
              <w:pStyle w:val="maintext"/>
              <w:numPr>
                <w:ilvl w:val="0"/>
                <w:numId w:val="16"/>
              </w:numPr>
              <w:spacing w:line="240" w:lineRule="auto"/>
              <w:ind w:firstLineChars="0"/>
              <w:rPr>
                <w:rFonts w:eastAsia="Times New Roman" w:cs="Times New Roman"/>
                <w:lang w:eastAsia="en-US"/>
              </w:rPr>
            </w:pPr>
            <w:r w:rsidRPr="00712DD9">
              <w:rPr>
                <w:rFonts w:eastAsia="Times New Roman" w:cs="Times New Roman"/>
                <w:lang w:eastAsia="en-US"/>
              </w:rPr>
              <w:t>Enhancements for mobility of an IAB-node together with its served UEs, including aspects related to group mobility. No optimizations for the targeting of surrounding UEs. [RAN3, RAN2]</w:t>
            </w:r>
          </w:p>
          <w:p w14:paraId="04CFD7D5" w14:textId="77777777" w:rsidR="00712DD9" w:rsidRPr="00712DD9" w:rsidRDefault="00712DD9" w:rsidP="00712DD9">
            <w:pPr>
              <w:pStyle w:val="maintext"/>
              <w:spacing w:line="240" w:lineRule="auto"/>
              <w:ind w:left="720" w:firstLineChars="0" w:firstLine="0"/>
              <w:rPr>
                <w:rFonts w:eastAsia="Times New Roman" w:cs="Times New Roman"/>
                <w:i/>
                <w:iCs/>
                <w:lang w:eastAsia="en-US"/>
              </w:rPr>
            </w:pPr>
            <w:r w:rsidRPr="00712DD9">
              <w:rPr>
                <w:rFonts w:eastAsia="Times New Roman" w:cs="Times New Roman"/>
                <w:i/>
                <w:iCs/>
                <w:lang w:eastAsia="en-US"/>
              </w:rPr>
              <w:t>Note: Solutions should avoid touching upon topics where Rel-17 discussions already occurred and where the topic was excluded from Rel-17, except for enhancements that are specific to IAB-node mobility.</w:t>
            </w:r>
          </w:p>
          <w:p w14:paraId="1C6263D6" w14:textId="3497C46C" w:rsidR="00A61DF4" w:rsidRPr="00732338" w:rsidRDefault="00712DD9" w:rsidP="00712DD9">
            <w:pPr>
              <w:pStyle w:val="maintext"/>
              <w:numPr>
                <w:ilvl w:val="0"/>
                <w:numId w:val="16"/>
              </w:numPr>
              <w:spacing w:line="240" w:lineRule="auto"/>
              <w:ind w:firstLineChars="0"/>
              <w:rPr>
                <w:lang w:eastAsia="en-GB"/>
              </w:rPr>
            </w:pPr>
            <w:r w:rsidRPr="00712DD9">
              <w:rPr>
                <w:rFonts w:eastAsia="Times New Roman" w:cs="Times New Roman"/>
                <w:lang w:eastAsia="en-US"/>
              </w:rPr>
              <w:t>Mitigation of interference due to IAB-node mobility, including the avoidance of potential reference and control signal collisions (e.g. PCI, RACH). [RAN3, RAN2]</w:t>
            </w:r>
          </w:p>
        </w:tc>
      </w:tr>
    </w:tbl>
    <w:p w14:paraId="0B940363" w14:textId="651D4CAD" w:rsidR="00A61DF4" w:rsidRDefault="00A61DF4" w:rsidP="00A61DF4">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I</w:t>
      </w:r>
      <w:r>
        <w:rPr>
          <w:rFonts w:ascii="Times New Roman" w:eastAsia="宋体" w:hAnsi="Times New Roman" w:cs="Times New Roman"/>
          <w:kern w:val="0"/>
          <w:sz w:val="20"/>
          <w:szCs w:val="20"/>
        </w:rPr>
        <w:t xml:space="preserve">n this contribution, </w:t>
      </w:r>
      <w:r w:rsidR="003752E3">
        <w:rPr>
          <w:rFonts w:ascii="Times New Roman" w:eastAsia="宋体" w:hAnsi="Times New Roman" w:cs="Times New Roman"/>
          <w:kern w:val="0"/>
          <w:sz w:val="20"/>
          <w:szCs w:val="20"/>
        </w:rPr>
        <w:t xml:space="preserve">mobility </w:t>
      </w:r>
      <w:r>
        <w:rPr>
          <w:rFonts w:ascii="Times New Roman" w:eastAsia="宋体" w:hAnsi="Times New Roman" w:cs="Times New Roman"/>
          <w:kern w:val="0"/>
          <w:sz w:val="20"/>
          <w:szCs w:val="20"/>
        </w:rPr>
        <w:t>enhancement</w:t>
      </w:r>
      <w:r w:rsidR="006F3309">
        <w:rPr>
          <w:rFonts w:ascii="Times New Roman" w:eastAsia="宋体" w:hAnsi="Times New Roman" w:cs="Times New Roman"/>
          <w:kern w:val="0"/>
          <w:sz w:val="20"/>
          <w:szCs w:val="20"/>
        </w:rPr>
        <w:t>s</w:t>
      </w:r>
      <w:r>
        <w:rPr>
          <w:rFonts w:ascii="Times New Roman" w:eastAsia="宋体" w:hAnsi="Times New Roman" w:cs="Times New Roman"/>
          <w:kern w:val="0"/>
          <w:sz w:val="20"/>
          <w:szCs w:val="20"/>
        </w:rPr>
        <w:t xml:space="preserve"> for mobile IAB-node </w:t>
      </w:r>
      <w:r w:rsidR="003752E3">
        <w:rPr>
          <w:rFonts w:ascii="Times New Roman" w:eastAsia="宋体" w:hAnsi="Times New Roman" w:cs="Times New Roman"/>
          <w:kern w:val="0"/>
          <w:sz w:val="20"/>
          <w:szCs w:val="20"/>
        </w:rPr>
        <w:t xml:space="preserve">and its connected UEs </w:t>
      </w:r>
      <w:r w:rsidR="004E4425">
        <w:rPr>
          <w:rFonts w:ascii="Times New Roman" w:eastAsia="宋体" w:hAnsi="Times New Roman" w:cs="Times New Roman"/>
          <w:kern w:val="0"/>
          <w:sz w:val="20"/>
          <w:szCs w:val="20"/>
        </w:rPr>
        <w:t>are</w:t>
      </w:r>
      <w:r>
        <w:rPr>
          <w:rFonts w:ascii="Times New Roman" w:eastAsia="宋体" w:hAnsi="Times New Roman" w:cs="Times New Roman"/>
          <w:kern w:val="0"/>
          <w:sz w:val="20"/>
          <w:szCs w:val="20"/>
        </w:rPr>
        <w:t xml:space="preserve"> discussed, including </w:t>
      </w:r>
      <w:r w:rsidRPr="006E5566">
        <w:rPr>
          <w:rFonts w:ascii="Times New Roman" w:eastAsia="宋体" w:hAnsi="Times New Roman" w:cs="Times New Roman"/>
          <w:kern w:val="0"/>
          <w:sz w:val="20"/>
          <w:szCs w:val="20"/>
        </w:rPr>
        <w:t xml:space="preserve">aspects related to </w:t>
      </w:r>
      <w:r w:rsidR="003752E3">
        <w:rPr>
          <w:rFonts w:ascii="Times New Roman" w:eastAsia="宋体" w:hAnsi="Times New Roman" w:cs="Times New Roman"/>
          <w:kern w:val="0"/>
          <w:sz w:val="20"/>
          <w:szCs w:val="20"/>
        </w:rPr>
        <w:t>CHO, RACH-less HO</w:t>
      </w:r>
      <w:r w:rsidR="00857106">
        <w:rPr>
          <w:rFonts w:ascii="Times New Roman" w:eastAsia="宋体" w:hAnsi="Times New Roman" w:cs="Times New Roman"/>
          <w:kern w:val="0"/>
          <w:sz w:val="20"/>
          <w:szCs w:val="20"/>
        </w:rPr>
        <w:t>,</w:t>
      </w:r>
      <w:r w:rsidR="003752E3">
        <w:rPr>
          <w:rFonts w:ascii="Times New Roman" w:eastAsia="宋体" w:hAnsi="Times New Roman" w:cs="Times New Roman"/>
          <w:kern w:val="0"/>
          <w:sz w:val="20"/>
          <w:szCs w:val="20"/>
        </w:rPr>
        <w:t xml:space="preserve"> and some other aspects</w:t>
      </w:r>
      <w:r>
        <w:rPr>
          <w:rFonts w:ascii="Times New Roman" w:eastAsia="宋体" w:hAnsi="Times New Roman" w:cs="Times New Roman"/>
          <w:kern w:val="0"/>
          <w:sz w:val="20"/>
          <w:szCs w:val="20"/>
        </w:rPr>
        <w:t>.</w:t>
      </w:r>
    </w:p>
    <w:p w14:paraId="47F0D14A" w14:textId="270B1293" w:rsidR="00AA3FAE" w:rsidRPr="001119CE" w:rsidRDefault="00AA3FAE" w:rsidP="001119CE">
      <w:pPr>
        <w:pStyle w:val="ac"/>
        <w:keepNext/>
        <w:keepLines/>
        <w:widowControl/>
        <w:numPr>
          <w:ilvl w:val="0"/>
          <w:numId w:val="5"/>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宋体" w:hAnsi="Arial" w:cs="Times New Roman"/>
          <w:kern w:val="0"/>
          <w:sz w:val="36"/>
          <w:szCs w:val="36"/>
          <w:lang w:val="en-GB"/>
        </w:rPr>
      </w:pPr>
      <w:r w:rsidRPr="001119CE">
        <w:rPr>
          <w:rFonts w:ascii="Arial" w:eastAsia="宋体" w:hAnsi="Arial" w:cs="Times New Roman"/>
          <w:kern w:val="0"/>
          <w:sz w:val="36"/>
          <w:szCs w:val="36"/>
          <w:lang w:val="en-GB"/>
        </w:rPr>
        <w:t>Discussion</w:t>
      </w:r>
    </w:p>
    <w:p w14:paraId="5B00ECAC" w14:textId="40BE3FD6" w:rsidR="00D02D3B" w:rsidRPr="0066723C" w:rsidRDefault="00D02D3B" w:rsidP="00D02D3B">
      <w:pPr>
        <w:widowControl/>
        <w:overflowPunct w:val="0"/>
        <w:autoSpaceDE w:val="0"/>
        <w:autoSpaceDN w:val="0"/>
        <w:adjustRightInd w:val="0"/>
        <w:spacing w:beforeLines="50" w:before="120" w:after="180"/>
        <w:textAlignment w:val="baseline"/>
        <w:rPr>
          <w:rFonts w:ascii="Times New Roman" w:eastAsia="宋体" w:hAnsi="Times New Roman" w:cs="Times New Roman"/>
          <w:b/>
          <w:bCs/>
          <w:kern w:val="0"/>
          <w:sz w:val="22"/>
          <w:u w:val="single"/>
        </w:rPr>
      </w:pPr>
      <w:r>
        <w:rPr>
          <w:rFonts w:ascii="Times New Roman" w:eastAsia="宋体" w:hAnsi="Times New Roman" w:cs="Times New Roman"/>
          <w:b/>
          <w:bCs/>
          <w:kern w:val="0"/>
          <w:sz w:val="22"/>
          <w:u w:val="single"/>
        </w:rPr>
        <w:t>Conditional handover for served UEs</w:t>
      </w:r>
    </w:p>
    <w:tbl>
      <w:tblPr>
        <w:tblW w:w="9650"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50"/>
      </w:tblGrid>
      <w:tr w:rsidR="00657ABB" w14:paraId="326D3BFD" w14:textId="77777777" w:rsidTr="00657ABB">
        <w:trPr>
          <w:trHeight w:val="2615"/>
        </w:trPr>
        <w:tc>
          <w:tcPr>
            <w:tcW w:w="9650" w:type="dxa"/>
          </w:tcPr>
          <w:p w14:paraId="14B6EE30" w14:textId="1A05199D" w:rsidR="00657ABB" w:rsidRPr="00657ABB" w:rsidRDefault="00657ABB" w:rsidP="00657ABB">
            <w:pPr>
              <w:widowControl/>
              <w:spacing w:after="180"/>
              <w:jc w:val="left"/>
              <w:rPr>
                <w:rFonts w:ascii="Times New Roman" w:eastAsia="宋体" w:hAnsi="Times New Roman" w:cs="Times New Roman"/>
                <w:kern w:val="0"/>
                <w:sz w:val="20"/>
                <w:szCs w:val="20"/>
              </w:rPr>
            </w:pPr>
            <w:r>
              <w:rPr>
                <w:rFonts w:ascii="Times New Roman" w:eastAsia="宋体" w:hAnsi="Times New Roman" w:cs="Times New Roman"/>
                <w:b/>
                <w:bCs/>
                <w:kern w:val="0"/>
                <w:sz w:val="20"/>
                <w:szCs w:val="20"/>
              </w:rPr>
              <w:t>RAN2 119bis-e:</w:t>
            </w:r>
          </w:p>
          <w:p w14:paraId="5B30401D" w14:textId="77777777" w:rsidR="00657ABB" w:rsidRPr="004B24FB" w:rsidRDefault="00657ABB" w:rsidP="00657ABB">
            <w:pPr>
              <w:pStyle w:val="Doc-text2"/>
              <w:rPr>
                <w:i/>
                <w:iCs/>
                <w:lang w:val="en-US"/>
              </w:rPr>
            </w:pPr>
            <w:r w:rsidRPr="004B24FB">
              <w:rPr>
                <w:i/>
                <w:iCs/>
                <w:lang w:val="en-US"/>
              </w:rPr>
              <w:t xml:space="preserve">1) message withholding by the logical source IAB-DU with conditional delivery, e.g., upon on MT migration, </w:t>
            </w:r>
          </w:p>
          <w:p w14:paraId="65187EA9" w14:textId="77777777" w:rsidR="00657ABB" w:rsidRPr="004B24FB" w:rsidRDefault="00657ABB" w:rsidP="00657ABB">
            <w:pPr>
              <w:pStyle w:val="Doc-text2"/>
              <w:rPr>
                <w:i/>
                <w:iCs/>
                <w:lang w:val="en-US"/>
              </w:rPr>
            </w:pPr>
            <w:r w:rsidRPr="004B24FB">
              <w:rPr>
                <w:i/>
                <w:iCs/>
                <w:lang w:val="en-US"/>
              </w:rPr>
              <w:t>2) conditional execution by the UE based on, e.g., a broadcast indication such as SIB indication of service time or DCI indication of MT-migration,</w:t>
            </w:r>
            <w:r>
              <w:rPr>
                <w:i/>
                <w:iCs/>
                <w:lang w:val="en-US"/>
              </w:rPr>
              <w:t xml:space="preserve"> (includes CHO with new trigger). </w:t>
            </w:r>
          </w:p>
          <w:p w14:paraId="77C00956" w14:textId="77777777" w:rsidR="00657ABB" w:rsidRPr="004B24FB" w:rsidRDefault="00657ABB" w:rsidP="00657ABB">
            <w:pPr>
              <w:pStyle w:val="Doc-text2"/>
              <w:rPr>
                <w:i/>
                <w:iCs/>
                <w:lang w:val="en-US"/>
              </w:rPr>
            </w:pPr>
            <w:r w:rsidRPr="004B24FB">
              <w:rPr>
                <w:i/>
                <w:iCs/>
                <w:lang w:val="en-US"/>
              </w:rPr>
              <w:t xml:space="preserve">3) legacy CHO (with implementation specific </w:t>
            </w:r>
            <w:proofErr w:type="spellStart"/>
            <w:r w:rsidRPr="004B24FB">
              <w:rPr>
                <w:i/>
                <w:iCs/>
                <w:lang w:val="en-US"/>
              </w:rPr>
              <w:t>behaviour</w:t>
            </w:r>
            <w:proofErr w:type="spellEnd"/>
            <w:r w:rsidRPr="004B24FB">
              <w:rPr>
                <w:i/>
                <w:iCs/>
                <w:lang w:val="en-US"/>
              </w:rPr>
              <w:t>, e.g. using source-cell power down or target cell power up triggering the actual HO)</w:t>
            </w:r>
          </w:p>
          <w:p w14:paraId="2DCD2766" w14:textId="57CA9CC9" w:rsidR="00657ABB" w:rsidRPr="00657ABB" w:rsidRDefault="00657ABB" w:rsidP="00657ABB">
            <w:pPr>
              <w:pStyle w:val="Agreement"/>
              <w:tabs>
                <w:tab w:val="clear" w:pos="-896"/>
                <w:tab w:val="num" w:pos="1619"/>
              </w:tabs>
              <w:ind w:left="1619"/>
            </w:pPr>
            <w:r>
              <w:t xml:space="preserve">RAN2 assumes that O1 and O3 above could work, and FFS if O2 above (new trigger etc) is needed. </w:t>
            </w:r>
          </w:p>
        </w:tc>
      </w:tr>
    </w:tbl>
    <w:p w14:paraId="23F20B99" w14:textId="146BF96F" w:rsidR="007650AE" w:rsidRDefault="00657ABB" w:rsidP="00D02D3B">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F</w:t>
      </w:r>
      <w:r>
        <w:rPr>
          <w:rFonts w:ascii="Times New Roman" w:eastAsia="宋体" w:hAnsi="Times New Roman" w:cs="Times New Roman"/>
          <w:kern w:val="0"/>
          <w:sz w:val="20"/>
          <w:szCs w:val="20"/>
        </w:rPr>
        <w:t xml:space="preserve">or Option 1, </w:t>
      </w:r>
      <w:r w:rsidR="00317D40" w:rsidRPr="00317D40">
        <w:rPr>
          <w:rFonts w:ascii="Times New Roman" w:eastAsia="宋体" w:hAnsi="Times New Roman" w:cs="Times New Roman"/>
          <w:kern w:val="0"/>
          <w:sz w:val="20"/>
          <w:szCs w:val="20"/>
        </w:rPr>
        <w:t>RRC Reconfiguration message</w:t>
      </w:r>
      <w:r w:rsidR="00317D40">
        <w:rPr>
          <w:rFonts w:ascii="Times New Roman" w:eastAsia="宋体" w:hAnsi="Times New Roman" w:cs="Times New Roman"/>
          <w:kern w:val="0"/>
          <w:sz w:val="20"/>
          <w:szCs w:val="20"/>
        </w:rPr>
        <w:t>s</w:t>
      </w:r>
      <w:r w:rsidR="00317D40" w:rsidRPr="00317D40">
        <w:rPr>
          <w:rFonts w:ascii="Times New Roman" w:eastAsia="宋体" w:hAnsi="Times New Roman" w:cs="Times New Roman"/>
          <w:kern w:val="0"/>
          <w:sz w:val="20"/>
          <w:szCs w:val="20"/>
        </w:rPr>
        <w:t xml:space="preserve"> </w:t>
      </w:r>
      <w:r w:rsidR="00317D40">
        <w:rPr>
          <w:rFonts w:ascii="Times New Roman" w:eastAsia="宋体" w:hAnsi="Times New Roman" w:cs="Times New Roman"/>
          <w:kern w:val="0"/>
          <w:sz w:val="20"/>
          <w:szCs w:val="20"/>
        </w:rPr>
        <w:t>are firstly</w:t>
      </w:r>
      <w:r w:rsidR="00317D40" w:rsidRPr="00317D40">
        <w:rPr>
          <w:rFonts w:ascii="Times New Roman" w:eastAsia="宋体" w:hAnsi="Times New Roman" w:cs="Times New Roman"/>
          <w:kern w:val="0"/>
          <w:sz w:val="20"/>
          <w:szCs w:val="20"/>
        </w:rPr>
        <w:t xml:space="preserve"> sent to source IAB-DU</w:t>
      </w:r>
      <w:r w:rsidR="00317D40">
        <w:rPr>
          <w:rFonts w:ascii="Times New Roman" w:eastAsia="宋体" w:hAnsi="Times New Roman" w:cs="Times New Roman"/>
          <w:kern w:val="0"/>
          <w:sz w:val="20"/>
          <w:szCs w:val="20"/>
        </w:rPr>
        <w:t xml:space="preserve"> of mobile IAB-node, and the source IAB-DU withholds the </w:t>
      </w:r>
      <w:r w:rsidR="00317D40" w:rsidRPr="00317D40">
        <w:rPr>
          <w:rFonts w:ascii="Times New Roman" w:eastAsia="宋体" w:hAnsi="Times New Roman" w:cs="Times New Roman"/>
          <w:kern w:val="0"/>
          <w:sz w:val="20"/>
          <w:szCs w:val="20"/>
        </w:rPr>
        <w:t>RRC Reconfiguration message</w:t>
      </w:r>
      <w:r w:rsidR="00317D40">
        <w:rPr>
          <w:rFonts w:ascii="Times New Roman" w:eastAsia="宋体" w:hAnsi="Times New Roman" w:cs="Times New Roman"/>
          <w:kern w:val="0"/>
          <w:sz w:val="20"/>
          <w:szCs w:val="20"/>
        </w:rPr>
        <w:t xml:space="preserve">s until some specific conditions are met and </w:t>
      </w:r>
      <w:r w:rsidR="00875D9D">
        <w:rPr>
          <w:rFonts w:ascii="Times New Roman" w:eastAsia="宋体" w:hAnsi="Times New Roman" w:cs="Times New Roman"/>
          <w:kern w:val="0"/>
          <w:sz w:val="20"/>
          <w:szCs w:val="20"/>
        </w:rPr>
        <w:t xml:space="preserve">then </w:t>
      </w:r>
      <w:r w:rsidR="00C44701">
        <w:rPr>
          <w:rFonts w:ascii="Times New Roman" w:eastAsia="宋体" w:hAnsi="Times New Roman" w:cs="Times New Roman"/>
          <w:kern w:val="0"/>
          <w:sz w:val="20"/>
          <w:szCs w:val="20"/>
        </w:rPr>
        <w:t>delivers</w:t>
      </w:r>
      <w:r w:rsidR="00317D40">
        <w:rPr>
          <w:rFonts w:ascii="Times New Roman" w:eastAsia="宋体" w:hAnsi="Times New Roman" w:cs="Times New Roman"/>
          <w:kern w:val="0"/>
          <w:sz w:val="20"/>
          <w:szCs w:val="20"/>
        </w:rPr>
        <w:t xml:space="preserve"> the </w:t>
      </w:r>
      <w:r w:rsidR="00317D40" w:rsidRPr="00317D40">
        <w:rPr>
          <w:rFonts w:ascii="Times New Roman" w:eastAsia="宋体" w:hAnsi="Times New Roman" w:cs="Times New Roman"/>
          <w:kern w:val="0"/>
          <w:sz w:val="20"/>
          <w:szCs w:val="20"/>
        </w:rPr>
        <w:t>RRC Reconfiguration message</w:t>
      </w:r>
      <w:r w:rsidR="00317D40">
        <w:rPr>
          <w:rFonts w:ascii="Times New Roman" w:eastAsia="宋体" w:hAnsi="Times New Roman" w:cs="Times New Roman"/>
          <w:kern w:val="0"/>
          <w:sz w:val="20"/>
          <w:szCs w:val="20"/>
        </w:rPr>
        <w:t>s to each connected UEs.</w:t>
      </w:r>
      <w:r w:rsidR="00875D9D">
        <w:rPr>
          <w:rFonts w:ascii="Times New Roman" w:eastAsia="宋体" w:hAnsi="Times New Roman" w:cs="Times New Roman"/>
          <w:kern w:val="0"/>
          <w:sz w:val="20"/>
          <w:szCs w:val="20"/>
        </w:rPr>
        <w:t xml:space="preserve"> </w:t>
      </w:r>
      <w:r w:rsidR="00C44701">
        <w:rPr>
          <w:rFonts w:ascii="Times New Roman" w:eastAsia="宋体" w:hAnsi="Times New Roman" w:cs="Times New Roman"/>
          <w:kern w:val="0"/>
          <w:sz w:val="20"/>
          <w:szCs w:val="20"/>
        </w:rPr>
        <w:t>Because s</w:t>
      </w:r>
      <w:r w:rsidR="00BE1FB3">
        <w:rPr>
          <w:rFonts w:ascii="Times New Roman" w:eastAsia="宋体" w:hAnsi="Times New Roman" w:cs="Times New Roman"/>
          <w:kern w:val="0"/>
          <w:sz w:val="20"/>
          <w:szCs w:val="20"/>
        </w:rPr>
        <w:t>imilar delay RRC configuration procedure has been defined in RAN3 during R17</w:t>
      </w:r>
      <w:r w:rsidR="00220099">
        <w:rPr>
          <w:rFonts w:ascii="Times New Roman" w:eastAsia="宋体" w:hAnsi="Times New Roman" w:cs="Times New Roman"/>
          <w:kern w:val="0"/>
          <w:sz w:val="20"/>
          <w:szCs w:val="20"/>
        </w:rPr>
        <w:t xml:space="preserve"> for</w:t>
      </w:r>
      <w:r w:rsidR="00220099" w:rsidRPr="00220099">
        <w:rPr>
          <w:rFonts w:ascii="Times New Roman" w:eastAsia="宋体" w:hAnsi="Times New Roman" w:cs="Times New Roman"/>
          <w:kern w:val="0"/>
          <w:sz w:val="20"/>
          <w:szCs w:val="20"/>
        </w:rPr>
        <w:t xml:space="preserve"> reconfiguration of descendent nodes during intra-donor migration</w:t>
      </w:r>
      <w:r w:rsidR="00C44701">
        <w:rPr>
          <w:rFonts w:ascii="Times New Roman" w:eastAsia="宋体" w:hAnsi="Times New Roman" w:cs="Times New Roman"/>
          <w:kern w:val="0"/>
          <w:sz w:val="20"/>
          <w:szCs w:val="20"/>
        </w:rPr>
        <w:t xml:space="preserve">, and the Option 1 has no impacts on legacy UEs. However, for the deliver condition, </w:t>
      </w:r>
      <w:r w:rsidR="000E6C5A">
        <w:rPr>
          <w:rFonts w:ascii="Times New Roman" w:eastAsia="宋体" w:hAnsi="Times New Roman" w:cs="Times New Roman"/>
          <w:kern w:val="0"/>
          <w:sz w:val="20"/>
          <w:szCs w:val="20"/>
        </w:rPr>
        <w:t>MT migration may not feasible as defined in RAN3 that IAB-MT handover and IAB-DU migration is</w:t>
      </w:r>
      <w:r w:rsidR="000E6C5A" w:rsidRPr="000E6C5A">
        <w:rPr>
          <w:rFonts w:ascii="Times New Roman" w:eastAsia="宋体" w:hAnsi="Times New Roman" w:cs="Times New Roman"/>
          <w:kern w:val="0"/>
          <w:sz w:val="20"/>
          <w:szCs w:val="20"/>
        </w:rPr>
        <w:t xml:space="preserve"> executed independently</w:t>
      </w:r>
      <w:r w:rsidR="000E6C5A">
        <w:rPr>
          <w:rFonts w:ascii="Times New Roman" w:eastAsia="宋体" w:hAnsi="Times New Roman" w:cs="Times New Roman"/>
          <w:kern w:val="0"/>
          <w:sz w:val="20"/>
          <w:szCs w:val="20"/>
        </w:rPr>
        <w:t xml:space="preserve">. </w:t>
      </w:r>
    </w:p>
    <w:p w14:paraId="58E05EE9" w14:textId="461A1CF1" w:rsidR="00D02D3B" w:rsidRDefault="007650AE" w:rsidP="00D02D3B">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For Option 2, because it’s not supported by the legacy UEs, then this option can be deprioritized.</w:t>
      </w:r>
    </w:p>
    <w:p w14:paraId="40EB6223" w14:textId="5397C0AD" w:rsidR="005A09F0" w:rsidRDefault="007650AE" w:rsidP="005A09F0">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lastRenderedPageBreak/>
        <w:t>F</w:t>
      </w:r>
      <w:r>
        <w:rPr>
          <w:rFonts w:ascii="Times New Roman" w:eastAsia="宋体" w:hAnsi="Times New Roman" w:cs="Times New Roman"/>
          <w:kern w:val="0"/>
          <w:sz w:val="20"/>
          <w:szCs w:val="20"/>
        </w:rPr>
        <w:t xml:space="preserve">or Option 3, </w:t>
      </w:r>
      <w:r w:rsidR="002750D3">
        <w:rPr>
          <w:rFonts w:ascii="Times New Roman" w:eastAsia="宋体" w:hAnsi="Times New Roman" w:cs="Times New Roman"/>
          <w:kern w:val="0"/>
          <w:sz w:val="20"/>
          <w:szCs w:val="20"/>
        </w:rPr>
        <w:t xml:space="preserve">legacy CHO </w:t>
      </w:r>
      <w:r w:rsidR="005A09F0">
        <w:rPr>
          <w:rFonts w:ascii="Times New Roman" w:eastAsia="宋体" w:hAnsi="Times New Roman" w:cs="Times New Roman"/>
          <w:kern w:val="0"/>
          <w:sz w:val="20"/>
          <w:szCs w:val="20"/>
        </w:rPr>
        <w:t xml:space="preserve">configuration can be fully reused for UEs, and source IAB-DU can power down </w:t>
      </w:r>
      <w:r w:rsidR="00F02242">
        <w:rPr>
          <w:rFonts w:ascii="Times New Roman" w:eastAsia="宋体" w:hAnsi="Times New Roman" w:cs="Times New Roman"/>
          <w:kern w:val="0"/>
          <w:sz w:val="20"/>
          <w:szCs w:val="20"/>
        </w:rPr>
        <w:t xml:space="preserve">the cells </w:t>
      </w:r>
      <w:r w:rsidR="005A09F0">
        <w:rPr>
          <w:rFonts w:ascii="Times New Roman" w:eastAsia="宋体" w:hAnsi="Times New Roman" w:cs="Times New Roman"/>
          <w:kern w:val="0"/>
          <w:sz w:val="20"/>
          <w:szCs w:val="20"/>
        </w:rPr>
        <w:t xml:space="preserve">by implementation to trigger the served UEs perform CHO to target IAB-DU, which has fewest standards impacts among 3 options. While for power up </w:t>
      </w:r>
      <w:r w:rsidR="00F02242">
        <w:rPr>
          <w:rFonts w:ascii="Times New Roman" w:eastAsia="宋体" w:hAnsi="Times New Roman" w:cs="Times New Roman"/>
          <w:kern w:val="0"/>
          <w:sz w:val="20"/>
          <w:szCs w:val="20"/>
        </w:rPr>
        <w:t xml:space="preserve">the cells </w:t>
      </w:r>
      <w:r w:rsidR="005A09F0">
        <w:rPr>
          <w:rFonts w:ascii="Times New Roman" w:eastAsia="宋体" w:hAnsi="Times New Roman" w:cs="Times New Roman"/>
          <w:kern w:val="0"/>
          <w:sz w:val="20"/>
          <w:szCs w:val="20"/>
        </w:rPr>
        <w:t>of target IAB-DU</w:t>
      </w:r>
      <w:r w:rsidR="00911342">
        <w:rPr>
          <w:rFonts w:ascii="Times New Roman" w:eastAsia="宋体" w:hAnsi="Times New Roman" w:cs="Times New Roman"/>
          <w:kern w:val="0"/>
          <w:sz w:val="20"/>
          <w:szCs w:val="20"/>
        </w:rPr>
        <w:t>, it’s not recommended to cause additional unnecessary HO/CHO on other UEs.</w:t>
      </w:r>
    </w:p>
    <w:p w14:paraId="33296235" w14:textId="4B48BF8D" w:rsidR="00D24D72" w:rsidRPr="003B0384" w:rsidRDefault="003B0384" w:rsidP="00D02D3B">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3B0384">
        <w:rPr>
          <w:rFonts w:ascii="Times New Roman" w:eastAsia="宋体" w:hAnsi="Times New Roman" w:cs="Times New Roman" w:hint="eastAsia"/>
          <w:b/>
          <w:bCs/>
          <w:kern w:val="0"/>
          <w:sz w:val="20"/>
          <w:szCs w:val="20"/>
        </w:rPr>
        <w:t>P</w:t>
      </w:r>
      <w:r w:rsidRPr="003B0384">
        <w:rPr>
          <w:rFonts w:ascii="Times New Roman" w:eastAsia="宋体" w:hAnsi="Times New Roman" w:cs="Times New Roman"/>
          <w:b/>
          <w:bCs/>
          <w:kern w:val="0"/>
          <w:sz w:val="20"/>
          <w:szCs w:val="20"/>
        </w:rPr>
        <w:t xml:space="preserve">roposal 1: </w:t>
      </w:r>
      <w:r w:rsidR="00FB7488">
        <w:rPr>
          <w:rFonts w:ascii="Times New Roman" w:eastAsia="宋体" w:hAnsi="Times New Roman" w:cs="Times New Roman"/>
          <w:b/>
          <w:bCs/>
          <w:kern w:val="0"/>
          <w:sz w:val="20"/>
          <w:szCs w:val="20"/>
        </w:rPr>
        <w:t xml:space="preserve">Legacy CHO procedure can be reused by the served UEs of mobile IAB-node, and source IAB-DU </w:t>
      </w:r>
      <w:r w:rsidR="00552A2B">
        <w:rPr>
          <w:rFonts w:ascii="Times New Roman" w:eastAsia="宋体" w:hAnsi="Times New Roman" w:cs="Times New Roman"/>
          <w:b/>
          <w:bCs/>
          <w:kern w:val="0"/>
          <w:sz w:val="20"/>
          <w:szCs w:val="20"/>
        </w:rPr>
        <w:t>powers down the cells by implementation to trigger the CHO</w:t>
      </w:r>
      <w:r w:rsidR="00FB7488">
        <w:rPr>
          <w:rFonts w:ascii="Times New Roman" w:eastAsia="宋体" w:hAnsi="Times New Roman" w:cs="Times New Roman"/>
          <w:b/>
          <w:bCs/>
          <w:kern w:val="0"/>
          <w:sz w:val="20"/>
          <w:szCs w:val="20"/>
        </w:rPr>
        <w:t>.</w:t>
      </w:r>
    </w:p>
    <w:p w14:paraId="5E6A1D75" w14:textId="5BB23EA6" w:rsidR="00D24D72" w:rsidRPr="00E05A10" w:rsidRDefault="00E05A10" w:rsidP="00E05A10">
      <w:pPr>
        <w:widowControl/>
        <w:overflowPunct w:val="0"/>
        <w:autoSpaceDE w:val="0"/>
        <w:autoSpaceDN w:val="0"/>
        <w:adjustRightInd w:val="0"/>
        <w:spacing w:beforeLines="50" w:before="120" w:after="180"/>
        <w:textAlignment w:val="baseline"/>
        <w:rPr>
          <w:rFonts w:ascii="Times New Roman" w:eastAsia="宋体" w:hAnsi="Times New Roman" w:cs="Times New Roman"/>
          <w:b/>
          <w:bCs/>
          <w:kern w:val="0"/>
          <w:sz w:val="22"/>
          <w:u w:val="single"/>
        </w:rPr>
      </w:pPr>
      <w:r w:rsidRPr="00E05A10">
        <w:rPr>
          <w:rFonts w:ascii="Times New Roman" w:eastAsia="宋体" w:hAnsi="Times New Roman" w:cs="Times New Roman" w:hint="eastAsia"/>
          <w:b/>
          <w:bCs/>
          <w:kern w:val="0"/>
          <w:sz w:val="22"/>
          <w:u w:val="single"/>
        </w:rPr>
        <w:t>R</w:t>
      </w:r>
      <w:r w:rsidRPr="00E05A10">
        <w:rPr>
          <w:rFonts w:ascii="Times New Roman" w:eastAsia="宋体" w:hAnsi="Times New Roman" w:cs="Times New Roman"/>
          <w:b/>
          <w:bCs/>
          <w:kern w:val="0"/>
          <w:sz w:val="22"/>
          <w:u w:val="single"/>
        </w:rPr>
        <w:t>ACH-less HO for served UEs</w:t>
      </w:r>
    </w:p>
    <w:p w14:paraId="3DE55F02" w14:textId="11568A6F" w:rsidR="00E063C8" w:rsidRDefault="00966CD3" w:rsidP="00D02D3B">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A</w:t>
      </w:r>
      <w:r>
        <w:rPr>
          <w:rFonts w:ascii="Times New Roman" w:eastAsia="宋体" w:hAnsi="Times New Roman" w:cs="Times New Roman"/>
          <w:kern w:val="0"/>
          <w:sz w:val="20"/>
          <w:szCs w:val="20"/>
        </w:rPr>
        <w:t>s in LTE, RACH-less handover has been introduced, and for the served UEs of mobile IAB-node, they can use the LTE RACH-less handover procedure as baseline.</w:t>
      </w:r>
    </w:p>
    <w:p w14:paraId="257E09BE" w14:textId="6E12129E" w:rsidR="00966CD3" w:rsidRPr="00966CD3" w:rsidRDefault="00966CD3" w:rsidP="00D02D3B">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966CD3">
        <w:rPr>
          <w:rFonts w:ascii="Times New Roman" w:eastAsia="宋体" w:hAnsi="Times New Roman" w:cs="Times New Roman" w:hint="eastAsia"/>
          <w:b/>
          <w:bCs/>
          <w:kern w:val="0"/>
          <w:sz w:val="20"/>
          <w:szCs w:val="20"/>
        </w:rPr>
        <w:t>P</w:t>
      </w:r>
      <w:r w:rsidRPr="00966CD3">
        <w:rPr>
          <w:rFonts w:ascii="Times New Roman" w:eastAsia="宋体" w:hAnsi="Times New Roman" w:cs="Times New Roman"/>
          <w:b/>
          <w:bCs/>
          <w:kern w:val="0"/>
          <w:sz w:val="20"/>
          <w:szCs w:val="20"/>
        </w:rPr>
        <w:t>roposal 2: Use LTE RACH-less handover procedure as baseline for served UEs of the mobile IAB-node.</w:t>
      </w:r>
    </w:p>
    <w:p w14:paraId="41210F01" w14:textId="461577AF" w:rsidR="00C5700F" w:rsidRPr="00787658" w:rsidRDefault="00C5700F" w:rsidP="00C5700F">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sidRPr="00787658">
        <w:rPr>
          <w:rFonts w:ascii="Times New Roman" w:eastAsia="宋体" w:hAnsi="Times New Roman" w:cs="Times New Roman"/>
          <w:kern w:val="0"/>
          <w:sz w:val="20"/>
          <w:szCs w:val="20"/>
        </w:rPr>
        <w:t>R</w:t>
      </w:r>
      <w:r>
        <w:rPr>
          <w:rFonts w:ascii="Times New Roman" w:eastAsia="宋体" w:hAnsi="Times New Roman" w:cs="Times New Roman"/>
          <w:kern w:val="0"/>
          <w:sz w:val="20"/>
          <w:szCs w:val="20"/>
        </w:rPr>
        <w:t>AN</w:t>
      </w:r>
      <w:r w:rsidRPr="00787658">
        <w:rPr>
          <w:rFonts w:ascii="Times New Roman" w:eastAsia="宋体" w:hAnsi="Times New Roman" w:cs="Times New Roman"/>
          <w:kern w:val="0"/>
          <w:sz w:val="20"/>
          <w:szCs w:val="20"/>
        </w:rPr>
        <w:t xml:space="preserve">2 </w:t>
      </w:r>
      <w:r>
        <w:rPr>
          <w:rFonts w:ascii="Times New Roman" w:eastAsia="宋体" w:hAnsi="Times New Roman" w:cs="Times New Roman"/>
          <w:kern w:val="0"/>
          <w:sz w:val="20"/>
          <w:szCs w:val="20"/>
        </w:rPr>
        <w:t>has agreed that</w:t>
      </w:r>
      <w:r w:rsidRPr="00787658">
        <w:rPr>
          <w:rFonts w:ascii="Times New Roman" w:eastAsia="宋体" w:hAnsi="Times New Roman" w:cs="Times New Roman"/>
          <w:kern w:val="0"/>
          <w:sz w:val="20"/>
          <w:szCs w:val="20"/>
        </w:rPr>
        <w:t xml:space="preserve"> RACH-less procedure may be considered for on-board RRC_CONNECTED UEs, which are to be handed over together with the mobile IAB-node</w:t>
      </w:r>
      <w:r>
        <w:rPr>
          <w:rFonts w:ascii="Times New Roman" w:eastAsia="宋体" w:hAnsi="Times New Roman" w:cs="Times New Roman"/>
          <w:kern w:val="0"/>
          <w:sz w:val="20"/>
          <w:szCs w:val="20"/>
        </w:rPr>
        <w:t xml:space="preserve">. It means that the target IAB-donor-CU needs to be aware of the on-board/surrounding </w:t>
      </w:r>
      <w:r w:rsidRPr="00773E4B">
        <w:rPr>
          <w:rFonts w:ascii="Times New Roman" w:eastAsia="宋体" w:hAnsi="Times New Roman" w:cs="Times New Roman"/>
          <w:kern w:val="0"/>
          <w:sz w:val="20"/>
          <w:szCs w:val="20"/>
        </w:rPr>
        <w:t xml:space="preserve">status </w:t>
      </w:r>
      <w:r>
        <w:rPr>
          <w:rFonts w:ascii="Times New Roman" w:eastAsia="宋体" w:hAnsi="Times New Roman" w:cs="Times New Roman"/>
          <w:kern w:val="0"/>
          <w:sz w:val="20"/>
          <w:szCs w:val="20"/>
        </w:rPr>
        <w:t xml:space="preserve">of handover UE and may needs to make some optimizations for the on-board UE than the surrounding UE. Therefore, </w:t>
      </w:r>
      <w:r w:rsidRPr="00F612F9">
        <w:rPr>
          <w:rFonts w:ascii="Times New Roman" w:eastAsia="宋体" w:hAnsi="Times New Roman" w:cs="Times New Roman"/>
          <w:kern w:val="0"/>
          <w:sz w:val="20"/>
          <w:szCs w:val="20"/>
        </w:rPr>
        <w:t xml:space="preserve">on-board/surrounding </w:t>
      </w:r>
      <w:r w:rsidRPr="00773E4B">
        <w:rPr>
          <w:rFonts w:ascii="Times New Roman" w:eastAsia="宋体" w:hAnsi="Times New Roman" w:cs="Times New Roman"/>
          <w:kern w:val="0"/>
          <w:sz w:val="20"/>
          <w:szCs w:val="20"/>
        </w:rPr>
        <w:t>status</w:t>
      </w:r>
      <w:r w:rsidRPr="0002183F">
        <w:rPr>
          <w:rFonts w:ascii="Times New Roman" w:eastAsia="宋体" w:hAnsi="Times New Roman" w:cs="Times New Roman"/>
          <w:b/>
          <w:bCs/>
          <w:kern w:val="0"/>
          <w:sz w:val="20"/>
          <w:szCs w:val="20"/>
        </w:rPr>
        <w:t xml:space="preserve"> </w:t>
      </w:r>
      <w:r w:rsidRPr="00F612F9">
        <w:rPr>
          <w:rFonts w:ascii="Times New Roman" w:eastAsia="宋体" w:hAnsi="Times New Roman" w:cs="Times New Roman"/>
          <w:kern w:val="0"/>
          <w:sz w:val="20"/>
          <w:szCs w:val="20"/>
        </w:rPr>
        <w:t xml:space="preserve">of </w:t>
      </w:r>
      <w:r>
        <w:rPr>
          <w:rFonts w:ascii="Times New Roman" w:eastAsia="宋体" w:hAnsi="Times New Roman" w:cs="Times New Roman"/>
          <w:kern w:val="0"/>
          <w:sz w:val="20"/>
          <w:szCs w:val="20"/>
        </w:rPr>
        <w:t>UE can be included in the handover request message.</w:t>
      </w:r>
    </w:p>
    <w:p w14:paraId="2C4975FA" w14:textId="10E0E19B" w:rsidR="00C5700F" w:rsidRDefault="00C5700F" w:rsidP="00C5700F">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F612F9">
        <w:rPr>
          <w:rFonts w:ascii="Times New Roman" w:eastAsia="宋体" w:hAnsi="Times New Roman" w:cs="Times New Roman" w:hint="eastAsia"/>
          <w:b/>
          <w:bCs/>
          <w:kern w:val="0"/>
          <w:sz w:val="20"/>
          <w:szCs w:val="20"/>
        </w:rPr>
        <w:t>P</w:t>
      </w:r>
      <w:r w:rsidRPr="00F612F9">
        <w:rPr>
          <w:rFonts w:ascii="Times New Roman" w:eastAsia="宋体" w:hAnsi="Times New Roman" w:cs="Times New Roman"/>
          <w:b/>
          <w:bCs/>
          <w:kern w:val="0"/>
          <w:sz w:val="20"/>
          <w:szCs w:val="20"/>
        </w:rPr>
        <w:t xml:space="preserve">roposal </w:t>
      </w:r>
      <w:r>
        <w:rPr>
          <w:rFonts w:ascii="Times New Roman" w:eastAsia="宋体" w:hAnsi="Times New Roman" w:cs="Times New Roman"/>
          <w:b/>
          <w:bCs/>
          <w:kern w:val="0"/>
          <w:sz w:val="20"/>
          <w:szCs w:val="20"/>
        </w:rPr>
        <w:t>3</w:t>
      </w:r>
      <w:r w:rsidRPr="00F612F9">
        <w:rPr>
          <w:rFonts w:ascii="Times New Roman" w:eastAsia="宋体" w:hAnsi="Times New Roman" w:cs="Times New Roman"/>
          <w:b/>
          <w:bCs/>
          <w:kern w:val="0"/>
          <w:sz w:val="20"/>
          <w:szCs w:val="20"/>
        </w:rPr>
        <w:t xml:space="preserve">: </w:t>
      </w:r>
      <w:r>
        <w:rPr>
          <w:rFonts w:ascii="Times New Roman" w:eastAsia="宋体" w:hAnsi="Times New Roman" w:cs="Times New Roman"/>
          <w:b/>
          <w:bCs/>
          <w:kern w:val="0"/>
          <w:sz w:val="20"/>
          <w:szCs w:val="20"/>
        </w:rPr>
        <w:t>Include o</w:t>
      </w:r>
      <w:r w:rsidRPr="00F612F9">
        <w:rPr>
          <w:rFonts w:ascii="Times New Roman" w:eastAsia="宋体" w:hAnsi="Times New Roman" w:cs="Times New Roman"/>
          <w:b/>
          <w:bCs/>
          <w:kern w:val="0"/>
          <w:sz w:val="20"/>
          <w:szCs w:val="20"/>
        </w:rPr>
        <w:t xml:space="preserve">n-board/surrounding </w:t>
      </w:r>
      <w:r w:rsidRPr="0002183F">
        <w:rPr>
          <w:rFonts w:ascii="Times New Roman" w:eastAsia="宋体" w:hAnsi="Times New Roman" w:cs="Times New Roman"/>
          <w:b/>
          <w:bCs/>
          <w:kern w:val="0"/>
          <w:sz w:val="20"/>
          <w:szCs w:val="20"/>
        </w:rPr>
        <w:t xml:space="preserve">status </w:t>
      </w:r>
      <w:r w:rsidRPr="00F612F9">
        <w:rPr>
          <w:rFonts w:ascii="Times New Roman" w:eastAsia="宋体" w:hAnsi="Times New Roman" w:cs="Times New Roman"/>
          <w:b/>
          <w:bCs/>
          <w:kern w:val="0"/>
          <w:sz w:val="20"/>
          <w:szCs w:val="20"/>
        </w:rPr>
        <w:t>of UE in the handover request message.</w:t>
      </w:r>
    </w:p>
    <w:p w14:paraId="22B01614" w14:textId="5C2D6752" w:rsidR="00A539A4" w:rsidRDefault="00C5700F" w:rsidP="00A539A4">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I</w:t>
      </w:r>
      <w:r>
        <w:rPr>
          <w:rFonts w:ascii="Times New Roman" w:eastAsia="宋体" w:hAnsi="Times New Roman" w:cs="Times New Roman"/>
          <w:kern w:val="0"/>
          <w:sz w:val="20"/>
          <w:szCs w:val="20"/>
        </w:rPr>
        <w:t>n addition</w:t>
      </w:r>
      <w:r w:rsidR="00027CBB">
        <w:rPr>
          <w:rFonts w:ascii="Times New Roman" w:eastAsia="宋体" w:hAnsi="Times New Roman" w:cs="Times New Roman"/>
          <w:kern w:val="0"/>
          <w:sz w:val="20"/>
          <w:szCs w:val="20"/>
        </w:rPr>
        <w:t>,</w:t>
      </w:r>
      <w:r>
        <w:rPr>
          <w:rFonts w:ascii="Times New Roman" w:eastAsia="宋体" w:hAnsi="Times New Roman" w:cs="Times New Roman"/>
          <w:kern w:val="0"/>
          <w:sz w:val="20"/>
          <w:szCs w:val="20"/>
        </w:rPr>
        <w:t xml:space="preserve"> for the o</w:t>
      </w:r>
      <w:r w:rsidRPr="00C5700F">
        <w:rPr>
          <w:rFonts w:ascii="Times New Roman" w:eastAsia="宋体" w:hAnsi="Times New Roman" w:cs="Times New Roman"/>
          <w:kern w:val="0"/>
          <w:sz w:val="20"/>
          <w:szCs w:val="20"/>
        </w:rPr>
        <w:t>n-board/surrounding status</w:t>
      </w:r>
      <w:r>
        <w:rPr>
          <w:rFonts w:ascii="Times New Roman" w:eastAsia="宋体" w:hAnsi="Times New Roman" w:cs="Times New Roman"/>
          <w:kern w:val="0"/>
          <w:sz w:val="20"/>
          <w:szCs w:val="20"/>
        </w:rPr>
        <w:t xml:space="preserve">, </w:t>
      </w:r>
      <w:r w:rsidR="00A539A4">
        <w:rPr>
          <w:rFonts w:ascii="Times New Roman" w:eastAsia="宋体" w:hAnsi="Times New Roman" w:cs="Times New Roman"/>
          <w:kern w:val="0"/>
          <w:sz w:val="20"/>
          <w:szCs w:val="20"/>
        </w:rPr>
        <w:t xml:space="preserve">all onboard UEs needs to perform migration together with the mobile IAB-node. While for the surrounding UEs camping on the mobile IAB-node, migration together with the mobile IAB-node is not an optimal choice. Once the surrounding UEs perform migration together with the mobile IAB-node, the measurement result of serving cell become worse gradually due to the mobility of mobile IAB-node, and the surrounding UEs may need to perform handover again within a short time. </w:t>
      </w:r>
    </w:p>
    <w:p w14:paraId="584BB409" w14:textId="786962A7" w:rsidR="00A539A4" w:rsidRDefault="00A539A4" w:rsidP="00A539A4">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In addition, as specified in the WID, n</w:t>
      </w:r>
      <w:r w:rsidRPr="00E75FF9">
        <w:rPr>
          <w:rFonts w:ascii="Times New Roman" w:eastAsia="宋体" w:hAnsi="Times New Roman" w:cs="Times New Roman"/>
          <w:kern w:val="0"/>
          <w:sz w:val="20"/>
          <w:szCs w:val="20"/>
        </w:rPr>
        <w:t xml:space="preserve">o optimizations </w:t>
      </w:r>
      <w:r>
        <w:rPr>
          <w:rFonts w:ascii="Times New Roman" w:eastAsia="宋体" w:hAnsi="Times New Roman" w:cs="Times New Roman"/>
          <w:kern w:val="0"/>
          <w:sz w:val="20"/>
          <w:szCs w:val="20"/>
        </w:rPr>
        <w:t xml:space="preserve">are </w:t>
      </w:r>
      <w:r w:rsidRPr="00E75FF9">
        <w:rPr>
          <w:rFonts w:ascii="Times New Roman" w:eastAsia="宋体" w:hAnsi="Times New Roman" w:cs="Times New Roman"/>
          <w:kern w:val="0"/>
          <w:sz w:val="20"/>
          <w:szCs w:val="20"/>
        </w:rPr>
        <w:t>for the targeting of surrounding UEs</w:t>
      </w:r>
      <w:r>
        <w:rPr>
          <w:rFonts w:ascii="Times New Roman" w:eastAsia="宋体" w:hAnsi="Times New Roman" w:cs="Times New Roman"/>
          <w:kern w:val="0"/>
          <w:sz w:val="20"/>
          <w:szCs w:val="20"/>
        </w:rPr>
        <w:t>, which means all enhancements related to group mobility</w:t>
      </w:r>
      <w:r w:rsidR="003F66B4">
        <w:rPr>
          <w:rFonts w:ascii="Times New Roman" w:eastAsia="宋体" w:hAnsi="Times New Roman" w:cs="Times New Roman"/>
          <w:kern w:val="0"/>
          <w:sz w:val="20"/>
          <w:szCs w:val="20"/>
        </w:rPr>
        <w:t xml:space="preserve"> </w:t>
      </w:r>
      <w:r>
        <w:rPr>
          <w:rFonts w:ascii="Times New Roman" w:eastAsia="宋体" w:hAnsi="Times New Roman" w:cs="Times New Roman"/>
          <w:kern w:val="0"/>
          <w:sz w:val="20"/>
          <w:szCs w:val="20"/>
        </w:rPr>
        <w:t xml:space="preserve">are only considered for the onboard UEs. In addition, we have agreed that RACH-less handover may be only considered for on-board UEs rather than surrounding UEs. Therefore, it’s necessary to differentiate </w:t>
      </w:r>
      <w:r w:rsidRPr="00FC6BB4">
        <w:rPr>
          <w:rFonts w:ascii="Times New Roman" w:eastAsia="宋体" w:hAnsi="Times New Roman" w:cs="Times New Roman"/>
          <w:kern w:val="0"/>
          <w:sz w:val="20"/>
          <w:szCs w:val="20"/>
        </w:rPr>
        <w:t xml:space="preserve">onboard UEs and surrounding UEs for </w:t>
      </w:r>
      <w:r>
        <w:rPr>
          <w:rFonts w:ascii="Times New Roman" w:eastAsia="宋体" w:hAnsi="Times New Roman" w:cs="Times New Roman"/>
          <w:kern w:val="0"/>
          <w:sz w:val="20"/>
          <w:szCs w:val="20"/>
        </w:rPr>
        <w:t xml:space="preserve">IAB-donor. And no matter how UE determine whether it’s in the status of onboard or surrounding, </w:t>
      </w:r>
      <w:r w:rsidRPr="0002183F">
        <w:rPr>
          <w:rFonts w:ascii="Times New Roman" w:eastAsia="宋体" w:hAnsi="Times New Roman" w:cs="Times New Roman"/>
          <w:kern w:val="0"/>
          <w:sz w:val="20"/>
          <w:szCs w:val="20"/>
        </w:rPr>
        <w:t xml:space="preserve">UE </w:t>
      </w:r>
      <w:r>
        <w:rPr>
          <w:rFonts w:ascii="Times New Roman" w:eastAsia="宋体" w:hAnsi="Times New Roman" w:cs="Times New Roman"/>
          <w:kern w:val="0"/>
          <w:sz w:val="20"/>
          <w:szCs w:val="20"/>
        </w:rPr>
        <w:t xml:space="preserve">needs to </w:t>
      </w:r>
      <w:r w:rsidRPr="0002183F">
        <w:rPr>
          <w:rFonts w:ascii="Times New Roman" w:eastAsia="宋体" w:hAnsi="Times New Roman" w:cs="Times New Roman"/>
          <w:kern w:val="0"/>
          <w:sz w:val="20"/>
          <w:szCs w:val="20"/>
        </w:rPr>
        <w:t xml:space="preserve">report its onboard/surrounding status to </w:t>
      </w:r>
      <w:r>
        <w:rPr>
          <w:rFonts w:ascii="Times New Roman" w:eastAsia="宋体" w:hAnsi="Times New Roman" w:cs="Times New Roman"/>
          <w:kern w:val="0"/>
          <w:sz w:val="20"/>
          <w:szCs w:val="20"/>
        </w:rPr>
        <w:t>IAB-donor</w:t>
      </w:r>
      <w:r w:rsidRPr="0002183F">
        <w:rPr>
          <w:rFonts w:ascii="Times New Roman" w:eastAsia="宋体" w:hAnsi="Times New Roman" w:cs="Times New Roman"/>
          <w:kern w:val="0"/>
          <w:sz w:val="20"/>
          <w:szCs w:val="20"/>
        </w:rPr>
        <w:t xml:space="preserve"> once it determine</w:t>
      </w:r>
      <w:r>
        <w:rPr>
          <w:rFonts w:ascii="Times New Roman" w:eastAsia="宋体" w:hAnsi="Times New Roman" w:cs="Times New Roman"/>
          <w:kern w:val="0"/>
          <w:sz w:val="20"/>
          <w:szCs w:val="20"/>
        </w:rPr>
        <w:t>s</w:t>
      </w:r>
      <w:r w:rsidRPr="0002183F">
        <w:rPr>
          <w:rFonts w:ascii="Times New Roman" w:eastAsia="宋体" w:hAnsi="Times New Roman" w:cs="Times New Roman"/>
          <w:kern w:val="0"/>
          <w:sz w:val="20"/>
          <w:szCs w:val="20"/>
        </w:rPr>
        <w:t xml:space="preserve"> the status or change</w:t>
      </w:r>
      <w:r>
        <w:rPr>
          <w:rFonts w:ascii="Times New Roman" w:eastAsia="宋体" w:hAnsi="Times New Roman" w:cs="Times New Roman"/>
          <w:kern w:val="0"/>
          <w:sz w:val="20"/>
          <w:szCs w:val="20"/>
        </w:rPr>
        <w:t>s</w:t>
      </w:r>
      <w:r w:rsidRPr="0002183F">
        <w:rPr>
          <w:rFonts w:ascii="Times New Roman" w:eastAsia="宋体" w:hAnsi="Times New Roman" w:cs="Times New Roman"/>
          <w:kern w:val="0"/>
          <w:sz w:val="20"/>
          <w:szCs w:val="20"/>
        </w:rPr>
        <w:t xml:space="preserve"> the status</w:t>
      </w:r>
      <w:r>
        <w:rPr>
          <w:rFonts w:ascii="Times New Roman" w:eastAsia="宋体" w:hAnsi="Times New Roman" w:cs="Times New Roman"/>
          <w:kern w:val="0"/>
          <w:sz w:val="20"/>
          <w:szCs w:val="20"/>
        </w:rPr>
        <w:t>.</w:t>
      </w:r>
    </w:p>
    <w:p w14:paraId="6B46B501" w14:textId="703806AD" w:rsidR="00A539A4" w:rsidRDefault="00A539A4" w:rsidP="00A539A4">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02183F">
        <w:rPr>
          <w:rFonts w:ascii="Times New Roman" w:eastAsia="宋体" w:hAnsi="Times New Roman" w:cs="Times New Roman"/>
          <w:b/>
          <w:bCs/>
          <w:kern w:val="0"/>
          <w:sz w:val="20"/>
          <w:szCs w:val="20"/>
        </w:rPr>
        <w:t xml:space="preserve">Proposal </w:t>
      </w:r>
      <w:r>
        <w:rPr>
          <w:rFonts w:ascii="Times New Roman" w:eastAsia="宋体" w:hAnsi="Times New Roman" w:cs="Times New Roman"/>
          <w:b/>
          <w:bCs/>
          <w:kern w:val="0"/>
          <w:sz w:val="20"/>
          <w:szCs w:val="20"/>
        </w:rPr>
        <w:t>4</w:t>
      </w:r>
      <w:r w:rsidRPr="0002183F">
        <w:rPr>
          <w:rFonts w:ascii="Times New Roman" w:eastAsia="宋体" w:hAnsi="Times New Roman" w:cs="Times New Roman"/>
          <w:b/>
          <w:bCs/>
          <w:kern w:val="0"/>
          <w:sz w:val="20"/>
          <w:szCs w:val="20"/>
        </w:rPr>
        <w:t xml:space="preserve">: UE reports its onboard/surrounding status to </w:t>
      </w:r>
      <w:r>
        <w:rPr>
          <w:rFonts w:ascii="Times New Roman" w:eastAsia="宋体" w:hAnsi="Times New Roman" w:cs="Times New Roman"/>
          <w:b/>
          <w:bCs/>
          <w:kern w:val="0"/>
          <w:sz w:val="20"/>
          <w:szCs w:val="20"/>
        </w:rPr>
        <w:t>IAB-donor</w:t>
      </w:r>
      <w:r w:rsidRPr="0002183F">
        <w:rPr>
          <w:rFonts w:ascii="Times New Roman" w:eastAsia="宋体" w:hAnsi="Times New Roman" w:cs="Times New Roman"/>
          <w:b/>
          <w:bCs/>
          <w:kern w:val="0"/>
          <w:sz w:val="20"/>
          <w:szCs w:val="20"/>
        </w:rPr>
        <w:t xml:space="preserve"> once it determine</w:t>
      </w:r>
      <w:r>
        <w:rPr>
          <w:rFonts w:ascii="Times New Roman" w:eastAsia="宋体" w:hAnsi="Times New Roman" w:cs="Times New Roman"/>
          <w:b/>
          <w:bCs/>
          <w:kern w:val="0"/>
          <w:sz w:val="20"/>
          <w:szCs w:val="20"/>
        </w:rPr>
        <w:t>s</w:t>
      </w:r>
      <w:r w:rsidRPr="0002183F">
        <w:rPr>
          <w:rFonts w:ascii="Times New Roman" w:eastAsia="宋体" w:hAnsi="Times New Roman" w:cs="Times New Roman"/>
          <w:b/>
          <w:bCs/>
          <w:kern w:val="0"/>
          <w:sz w:val="20"/>
          <w:szCs w:val="20"/>
        </w:rPr>
        <w:t xml:space="preserve"> the status or change</w:t>
      </w:r>
      <w:r>
        <w:rPr>
          <w:rFonts w:ascii="Times New Roman" w:eastAsia="宋体" w:hAnsi="Times New Roman" w:cs="Times New Roman"/>
          <w:b/>
          <w:bCs/>
          <w:kern w:val="0"/>
          <w:sz w:val="20"/>
          <w:szCs w:val="20"/>
        </w:rPr>
        <w:t>s</w:t>
      </w:r>
      <w:r w:rsidRPr="0002183F">
        <w:rPr>
          <w:rFonts w:ascii="Times New Roman" w:eastAsia="宋体" w:hAnsi="Times New Roman" w:cs="Times New Roman"/>
          <w:b/>
          <w:bCs/>
          <w:kern w:val="0"/>
          <w:sz w:val="20"/>
          <w:szCs w:val="20"/>
        </w:rPr>
        <w:t xml:space="preserve"> the status.</w:t>
      </w:r>
    </w:p>
    <w:p w14:paraId="3166A3FB" w14:textId="5F26772C" w:rsidR="002D414F" w:rsidRPr="00592A23" w:rsidRDefault="002D414F" w:rsidP="002D414F">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2"/>
          <w:u w:val="single"/>
        </w:rPr>
      </w:pPr>
      <w:r>
        <w:rPr>
          <w:rFonts w:ascii="Times New Roman" w:eastAsia="宋体" w:hAnsi="Times New Roman" w:cs="Times New Roman"/>
          <w:b/>
          <w:bCs/>
          <w:kern w:val="0"/>
          <w:sz w:val="22"/>
          <w:u w:val="single"/>
        </w:rPr>
        <w:t xml:space="preserve">Keep </w:t>
      </w:r>
      <w:r w:rsidR="00204BF0">
        <w:rPr>
          <w:rFonts w:ascii="Times New Roman" w:eastAsia="宋体" w:hAnsi="Times New Roman" w:cs="Times New Roman"/>
          <w:b/>
          <w:bCs/>
          <w:kern w:val="0"/>
          <w:sz w:val="22"/>
          <w:u w:val="single"/>
        </w:rPr>
        <w:t>l</w:t>
      </w:r>
      <w:r>
        <w:rPr>
          <w:rFonts w:ascii="Times New Roman" w:eastAsia="宋体" w:hAnsi="Times New Roman" w:cs="Times New Roman"/>
          <w:b/>
          <w:bCs/>
          <w:kern w:val="0"/>
          <w:sz w:val="22"/>
          <w:u w:val="single"/>
        </w:rPr>
        <w:t>ower layer configuration of served UEs</w:t>
      </w:r>
    </w:p>
    <w:p w14:paraId="3CE0AB94" w14:textId="0EF26B1D" w:rsidR="002D414F" w:rsidRDefault="002D414F" w:rsidP="002D414F">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As</w:t>
      </w:r>
      <w:r w:rsidRPr="00AA3CB7">
        <w:rPr>
          <w:rFonts w:ascii="Times New Roman" w:eastAsia="宋体" w:hAnsi="Times New Roman" w:cs="Times New Roman"/>
          <w:kern w:val="0"/>
          <w:sz w:val="20"/>
          <w:szCs w:val="20"/>
        </w:rPr>
        <w:t xml:space="preserve"> for the </w:t>
      </w:r>
      <w:r>
        <w:rPr>
          <w:rFonts w:ascii="Times New Roman" w:eastAsia="宋体" w:hAnsi="Times New Roman" w:cs="Times New Roman"/>
          <w:kern w:val="0"/>
          <w:sz w:val="20"/>
          <w:szCs w:val="20"/>
        </w:rPr>
        <w:t xml:space="preserve">served </w:t>
      </w:r>
      <w:r w:rsidRPr="00AA3CB7">
        <w:rPr>
          <w:rFonts w:ascii="Times New Roman" w:eastAsia="宋体" w:hAnsi="Times New Roman" w:cs="Times New Roman"/>
          <w:kern w:val="0"/>
          <w:sz w:val="20"/>
          <w:szCs w:val="20"/>
        </w:rPr>
        <w:t>UEs of mobile IAB-node, since</w:t>
      </w:r>
      <w:r>
        <w:rPr>
          <w:rFonts w:ascii="Times New Roman" w:eastAsia="宋体" w:hAnsi="Times New Roman" w:cs="Times New Roman"/>
          <w:kern w:val="0"/>
          <w:sz w:val="20"/>
          <w:szCs w:val="20"/>
        </w:rPr>
        <w:t xml:space="preserve"> source logical IAB-DU and target logical IAB-DU are co-located physically and</w:t>
      </w:r>
      <w:r w:rsidRPr="00AA3CB7">
        <w:rPr>
          <w:rFonts w:ascii="Times New Roman" w:eastAsia="宋体" w:hAnsi="Times New Roman" w:cs="Times New Roman"/>
          <w:kern w:val="0"/>
          <w:sz w:val="20"/>
          <w:szCs w:val="20"/>
        </w:rPr>
        <w:t xml:space="preserve"> the serving </w:t>
      </w:r>
      <w:r>
        <w:rPr>
          <w:rFonts w:ascii="Times New Roman" w:eastAsia="宋体" w:hAnsi="Times New Roman" w:cs="Times New Roman"/>
          <w:kern w:val="0"/>
          <w:sz w:val="20"/>
          <w:szCs w:val="20"/>
        </w:rPr>
        <w:t xml:space="preserve">mobile </w:t>
      </w:r>
      <w:r w:rsidRPr="00AA3CB7">
        <w:rPr>
          <w:rFonts w:ascii="Times New Roman" w:eastAsia="宋体" w:hAnsi="Times New Roman" w:cs="Times New Roman"/>
          <w:kern w:val="0"/>
          <w:sz w:val="20"/>
          <w:szCs w:val="20"/>
        </w:rPr>
        <w:t>IAB-node doesn’t change</w:t>
      </w:r>
      <w:r>
        <w:rPr>
          <w:rFonts w:ascii="Times New Roman" w:eastAsia="宋体" w:hAnsi="Times New Roman" w:cs="Times New Roman"/>
          <w:kern w:val="0"/>
          <w:sz w:val="20"/>
          <w:szCs w:val="20"/>
        </w:rPr>
        <w:t xml:space="preserve"> for UE</w:t>
      </w:r>
      <w:r w:rsidRPr="00AA3CB7">
        <w:rPr>
          <w:rFonts w:ascii="Times New Roman" w:eastAsia="宋体" w:hAnsi="Times New Roman" w:cs="Times New Roman"/>
          <w:kern w:val="0"/>
          <w:sz w:val="20"/>
          <w:szCs w:val="20"/>
        </w:rPr>
        <w:t xml:space="preserve"> during the whole </w:t>
      </w:r>
      <w:r>
        <w:rPr>
          <w:rFonts w:ascii="Times New Roman" w:eastAsia="宋体" w:hAnsi="Times New Roman" w:cs="Times New Roman"/>
          <w:kern w:val="0"/>
          <w:sz w:val="20"/>
          <w:szCs w:val="20"/>
        </w:rPr>
        <w:t xml:space="preserve">full </w:t>
      </w:r>
      <w:r w:rsidRPr="00AA3CB7">
        <w:rPr>
          <w:rFonts w:ascii="Times New Roman" w:eastAsia="宋体" w:hAnsi="Times New Roman" w:cs="Times New Roman"/>
          <w:kern w:val="0"/>
          <w:sz w:val="20"/>
          <w:szCs w:val="20"/>
        </w:rPr>
        <w:t>migration procedure</w:t>
      </w:r>
      <w:r>
        <w:rPr>
          <w:rFonts w:ascii="Times New Roman" w:eastAsia="宋体" w:hAnsi="Times New Roman" w:cs="Times New Roman"/>
          <w:kern w:val="0"/>
          <w:sz w:val="20"/>
          <w:szCs w:val="20"/>
        </w:rPr>
        <w:t xml:space="preserve"> or IAB-DU migration procedure, which means the air interface between the UE and the mobile IAB-node may be maintained during the </w:t>
      </w:r>
      <w:r w:rsidRPr="00AA3CB7">
        <w:rPr>
          <w:rFonts w:ascii="Times New Roman" w:eastAsia="宋体" w:hAnsi="Times New Roman" w:cs="Times New Roman"/>
          <w:kern w:val="0"/>
          <w:sz w:val="20"/>
          <w:szCs w:val="20"/>
        </w:rPr>
        <w:t xml:space="preserve">whole </w:t>
      </w:r>
      <w:r>
        <w:rPr>
          <w:rFonts w:ascii="Times New Roman" w:eastAsia="宋体" w:hAnsi="Times New Roman" w:cs="Times New Roman"/>
          <w:kern w:val="0"/>
          <w:sz w:val="20"/>
          <w:szCs w:val="20"/>
        </w:rPr>
        <w:t xml:space="preserve">full </w:t>
      </w:r>
      <w:r w:rsidRPr="00AA3CB7">
        <w:rPr>
          <w:rFonts w:ascii="Times New Roman" w:eastAsia="宋体" w:hAnsi="Times New Roman" w:cs="Times New Roman"/>
          <w:kern w:val="0"/>
          <w:sz w:val="20"/>
          <w:szCs w:val="20"/>
        </w:rPr>
        <w:t>migration procedure</w:t>
      </w:r>
      <w:r>
        <w:rPr>
          <w:rFonts w:ascii="Times New Roman" w:eastAsia="宋体" w:hAnsi="Times New Roman" w:cs="Times New Roman"/>
          <w:kern w:val="0"/>
          <w:sz w:val="20"/>
          <w:szCs w:val="20"/>
        </w:rPr>
        <w:t xml:space="preserve"> or IAB-DU migration procedure. In addition, RAN3 had agreed to d</w:t>
      </w:r>
      <w:r w:rsidRPr="00E55CE1">
        <w:rPr>
          <w:rFonts w:ascii="Times New Roman" w:eastAsia="宋体" w:hAnsi="Times New Roman" w:cs="Times New Roman"/>
          <w:kern w:val="0"/>
          <w:sz w:val="20"/>
          <w:szCs w:val="20"/>
        </w:rPr>
        <w:t>iscuss whether and which information can be shared between two logical DUs in case of IAB-DU migration.</w:t>
      </w:r>
    </w:p>
    <w:p w14:paraId="12232C14" w14:textId="77777777" w:rsidR="002D414F" w:rsidRDefault="002D414F" w:rsidP="002D414F">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Therefore, in this case, at least some lower layer configurations (RLC, MAC and PHY) can be reused before and after migration for UE, and UE is only configured with the delta configuration specified to the target IAB-donor, e.g., key and </w:t>
      </w:r>
      <w:r>
        <w:rPr>
          <w:rFonts w:ascii="Times New Roman" w:hAnsi="Times New Roman" w:cs="Times New Roman"/>
          <w:sz w:val="20"/>
          <w:szCs w:val="20"/>
          <w:lang w:val="en-GB"/>
        </w:rPr>
        <w:t xml:space="preserve">security algorithms. </w:t>
      </w:r>
    </w:p>
    <w:p w14:paraId="23F13EF5" w14:textId="204C9A2E" w:rsidR="002D414F" w:rsidRPr="002D414F" w:rsidRDefault="002D414F" w:rsidP="00D02D3B">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C16F07">
        <w:rPr>
          <w:rFonts w:ascii="Times New Roman" w:eastAsia="宋体" w:hAnsi="Times New Roman" w:cs="Times New Roman"/>
          <w:b/>
          <w:bCs/>
          <w:kern w:val="0"/>
          <w:sz w:val="20"/>
          <w:szCs w:val="20"/>
        </w:rPr>
        <w:t xml:space="preserve">Proposal </w:t>
      </w:r>
      <w:r>
        <w:rPr>
          <w:rFonts w:ascii="Times New Roman" w:eastAsia="宋体" w:hAnsi="Times New Roman" w:cs="Times New Roman"/>
          <w:b/>
          <w:bCs/>
          <w:kern w:val="0"/>
          <w:sz w:val="20"/>
          <w:szCs w:val="20"/>
        </w:rPr>
        <w:t>5</w:t>
      </w:r>
      <w:r w:rsidRPr="00C16F07">
        <w:rPr>
          <w:rFonts w:ascii="Times New Roman" w:eastAsia="宋体" w:hAnsi="Times New Roman" w:cs="Times New Roman"/>
          <w:b/>
          <w:bCs/>
          <w:kern w:val="0"/>
          <w:sz w:val="20"/>
          <w:szCs w:val="20"/>
        </w:rPr>
        <w:t xml:space="preserve">: </w:t>
      </w:r>
      <w:r w:rsidRPr="00F017C8">
        <w:rPr>
          <w:rFonts w:ascii="Times New Roman" w:eastAsia="宋体" w:hAnsi="Times New Roman" w:cs="Times New Roman"/>
          <w:b/>
          <w:bCs/>
          <w:kern w:val="0"/>
          <w:sz w:val="20"/>
          <w:szCs w:val="20"/>
        </w:rPr>
        <w:t>The served UE</w:t>
      </w:r>
      <w:r>
        <w:rPr>
          <w:rFonts w:ascii="Times New Roman" w:eastAsia="宋体" w:hAnsi="Times New Roman" w:cs="Times New Roman"/>
          <w:b/>
          <w:bCs/>
          <w:kern w:val="0"/>
          <w:sz w:val="20"/>
          <w:szCs w:val="20"/>
        </w:rPr>
        <w:t>s</w:t>
      </w:r>
      <w:r w:rsidRPr="00F017C8">
        <w:rPr>
          <w:rFonts w:ascii="Times New Roman" w:eastAsia="宋体" w:hAnsi="Times New Roman" w:cs="Times New Roman"/>
          <w:b/>
          <w:bCs/>
          <w:kern w:val="0"/>
          <w:sz w:val="20"/>
          <w:szCs w:val="20"/>
        </w:rPr>
        <w:t xml:space="preserve"> of mobile IAB-node may </w:t>
      </w:r>
      <w:r>
        <w:rPr>
          <w:rFonts w:ascii="Times New Roman" w:eastAsia="宋体" w:hAnsi="Times New Roman" w:cs="Times New Roman"/>
          <w:b/>
          <w:bCs/>
          <w:kern w:val="0"/>
          <w:sz w:val="20"/>
          <w:szCs w:val="20"/>
        </w:rPr>
        <w:t xml:space="preserve">keep </w:t>
      </w:r>
      <w:r w:rsidRPr="00C16F07">
        <w:rPr>
          <w:rFonts w:ascii="Times New Roman" w:eastAsia="宋体" w:hAnsi="Times New Roman" w:cs="Times New Roman"/>
          <w:b/>
          <w:bCs/>
          <w:kern w:val="0"/>
          <w:sz w:val="20"/>
          <w:szCs w:val="20"/>
        </w:rPr>
        <w:t>lower layer configurations (RLC, MAC and PHY)</w:t>
      </w:r>
      <w:r>
        <w:rPr>
          <w:rFonts w:ascii="Times New Roman" w:eastAsia="宋体" w:hAnsi="Times New Roman" w:cs="Times New Roman"/>
          <w:b/>
          <w:bCs/>
          <w:kern w:val="0"/>
          <w:sz w:val="20"/>
          <w:szCs w:val="20"/>
        </w:rPr>
        <w:t xml:space="preserve"> </w:t>
      </w:r>
      <w:r w:rsidRPr="00D95016">
        <w:rPr>
          <w:rFonts w:ascii="Times New Roman" w:eastAsia="宋体" w:hAnsi="Times New Roman" w:cs="Times New Roman"/>
          <w:b/>
          <w:bCs/>
          <w:kern w:val="0"/>
          <w:sz w:val="20"/>
          <w:szCs w:val="20"/>
        </w:rPr>
        <w:t>during inter-donor full migration</w:t>
      </w:r>
      <w:r>
        <w:rPr>
          <w:rFonts w:ascii="Times New Roman" w:eastAsia="宋体" w:hAnsi="Times New Roman" w:cs="Times New Roman"/>
          <w:b/>
          <w:bCs/>
          <w:kern w:val="0"/>
          <w:sz w:val="20"/>
          <w:szCs w:val="20"/>
        </w:rPr>
        <w:t xml:space="preserve"> or IAB-DU migration</w:t>
      </w:r>
      <w:r w:rsidRPr="00D95016">
        <w:rPr>
          <w:rFonts w:ascii="Times New Roman" w:eastAsia="宋体" w:hAnsi="Times New Roman" w:cs="Times New Roman"/>
          <w:b/>
          <w:bCs/>
          <w:kern w:val="0"/>
          <w:sz w:val="20"/>
          <w:szCs w:val="20"/>
        </w:rPr>
        <w:t xml:space="preserve"> together with the mobile IAB-node.</w:t>
      </w:r>
    </w:p>
    <w:p w14:paraId="08DDD60A" w14:textId="08F2F633" w:rsidR="009036A3" w:rsidRPr="0066723C" w:rsidRDefault="009036A3" w:rsidP="009036A3">
      <w:pPr>
        <w:widowControl/>
        <w:overflowPunct w:val="0"/>
        <w:autoSpaceDE w:val="0"/>
        <w:autoSpaceDN w:val="0"/>
        <w:adjustRightInd w:val="0"/>
        <w:spacing w:beforeLines="50" w:before="120" w:after="180"/>
        <w:textAlignment w:val="baseline"/>
        <w:rPr>
          <w:rFonts w:ascii="Times New Roman" w:eastAsia="宋体" w:hAnsi="Times New Roman" w:cs="Times New Roman"/>
          <w:b/>
          <w:bCs/>
          <w:kern w:val="0"/>
          <w:sz w:val="22"/>
          <w:u w:val="single"/>
        </w:rPr>
      </w:pPr>
      <w:r>
        <w:rPr>
          <w:rFonts w:ascii="Times New Roman" w:eastAsia="宋体" w:hAnsi="Times New Roman" w:cs="Times New Roman"/>
          <w:b/>
          <w:bCs/>
          <w:kern w:val="0"/>
          <w:sz w:val="22"/>
          <w:u w:val="single"/>
        </w:rPr>
        <w:t>Mobile IAB</w:t>
      </w:r>
      <w:r w:rsidR="00350C12">
        <w:rPr>
          <w:rFonts w:ascii="Times New Roman" w:eastAsia="宋体" w:hAnsi="Times New Roman" w:cs="Times New Roman"/>
          <w:b/>
          <w:bCs/>
          <w:kern w:val="0"/>
          <w:sz w:val="22"/>
          <w:u w:val="single"/>
        </w:rPr>
        <w:t>-</w:t>
      </w:r>
      <w:r>
        <w:rPr>
          <w:rFonts w:ascii="Times New Roman" w:eastAsia="宋体" w:hAnsi="Times New Roman" w:cs="Times New Roman"/>
          <w:b/>
          <w:bCs/>
          <w:kern w:val="0"/>
          <w:sz w:val="22"/>
          <w:u w:val="single"/>
        </w:rPr>
        <w:t>indication in M</w:t>
      </w:r>
      <w:r w:rsidR="004E4591">
        <w:rPr>
          <w:rFonts w:ascii="Times New Roman" w:eastAsia="宋体" w:hAnsi="Times New Roman" w:cs="Times New Roman"/>
          <w:b/>
          <w:bCs/>
          <w:kern w:val="0"/>
          <w:sz w:val="22"/>
          <w:u w:val="single"/>
        </w:rPr>
        <w:t>sg</w:t>
      </w:r>
      <w:r>
        <w:rPr>
          <w:rFonts w:ascii="Times New Roman" w:eastAsia="宋体" w:hAnsi="Times New Roman" w:cs="Times New Roman"/>
          <w:b/>
          <w:bCs/>
          <w:kern w:val="0"/>
          <w:sz w:val="22"/>
          <w:u w:val="single"/>
        </w:rPr>
        <w:t>5</w:t>
      </w:r>
    </w:p>
    <w:tbl>
      <w:tblPr>
        <w:tblW w:w="9650" w:type="dxa"/>
        <w:tblInd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50"/>
      </w:tblGrid>
      <w:tr w:rsidR="004E4591" w14:paraId="070AE6A5" w14:textId="77777777" w:rsidTr="004E4591">
        <w:trPr>
          <w:trHeight w:val="2270"/>
        </w:trPr>
        <w:tc>
          <w:tcPr>
            <w:tcW w:w="9650" w:type="dxa"/>
          </w:tcPr>
          <w:p w14:paraId="43CD376E" w14:textId="77777777" w:rsidR="004E4591" w:rsidRDefault="004E4591" w:rsidP="009036A3">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R</w:t>
            </w:r>
            <w:r>
              <w:rPr>
                <w:rFonts w:ascii="Times New Roman" w:eastAsia="宋体" w:hAnsi="Times New Roman" w:cs="Times New Roman"/>
                <w:kern w:val="0"/>
                <w:sz w:val="20"/>
                <w:szCs w:val="20"/>
              </w:rPr>
              <w:t>AN2 120:</w:t>
            </w:r>
          </w:p>
          <w:p w14:paraId="32D45080" w14:textId="77777777" w:rsidR="004E4591" w:rsidRPr="00105994" w:rsidRDefault="004E4591" w:rsidP="004E4591">
            <w:pPr>
              <w:pStyle w:val="Agreement"/>
              <w:tabs>
                <w:tab w:val="clear" w:pos="-896"/>
                <w:tab w:val="num" w:pos="1619"/>
              </w:tabs>
              <w:ind w:left="1619"/>
            </w:pPr>
            <w:r>
              <w:t xml:space="preserve">R2 assumes that It is up to RAN3 or SA2 to decide whether to support early mobile IAB indication in Msg5 because it depends whether donor CU needs to select an AMF supporting mobile IAB. </w:t>
            </w:r>
          </w:p>
          <w:p w14:paraId="2F4F4EDA" w14:textId="77777777" w:rsidR="004E4591" w:rsidRDefault="004E4591" w:rsidP="009036A3">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RAN2 121:</w:t>
            </w:r>
          </w:p>
          <w:p w14:paraId="2FD4854F" w14:textId="4B9B995A" w:rsidR="004E4591" w:rsidRPr="004E4591" w:rsidRDefault="004E4591" w:rsidP="004E4591">
            <w:pPr>
              <w:pStyle w:val="Agreement"/>
              <w:tabs>
                <w:tab w:val="clear" w:pos="-896"/>
                <w:tab w:val="num" w:pos="1619"/>
              </w:tabs>
              <w:ind w:left="1619"/>
            </w:pPr>
            <w:r>
              <w:t xml:space="preserve">Postponed, AMF selection in the base-station is a Ran3 function, Ran2 expect RAN3 to ask for it if support for this is needed </w:t>
            </w:r>
          </w:p>
        </w:tc>
      </w:tr>
    </w:tbl>
    <w:p w14:paraId="403114F8" w14:textId="5D9810CC" w:rsidR="004E4591" w:rsidRPr="00BC4EA8" w:rsidRDefault="004E4591" w:rsidP="00BC4EA8">
      <w:pPr>
        <w:pStyle w:val="af2"/>
        <w:spacing w:before="0" w:beforeAutospacing="0" w:after="120" w:afterAutospacing="0"/>
        <w:jc w:val="both"/>
        <w:rPr>
          <w:rFonts w:ascii="Times New Roman" w:hAnsi="Times New Roman" w:cs="Times New Roman"/>
          <w:sz w:val="20"/>
          <w:szCs w:val="20"/>
        </w:rPr>
      </w:pPr>
      <w:r>
        <w:rPr>
          <w:rFonts w:ascii="Times New Roman" w:hAnsi="Times New Roman" w:cs="Times New Roman" w:hint="eastAsia"/>
          <w:sz w:val="20"/>
          <w:szCs w:val="20"/>
        </w:rPr>
        <w:t>A</w:t>
      </w:r>
      <w:r>
        <w:rPr>
          <w:rFonts w:ascii="Times New Roman" w:hAnsi="Times New Roman" w:cs="Times New Roman"/>
          <w:sz w:val="20"/>
          <w:szCs w:val="20"/>
        </w:rPr>
        <w:t xml:space="preserve">s agreed in last two meetings, </w:t>
      </w:r>
      <w:r w:rsidR="00350C12">
        <w:rPr>
          <w:rFonts w:ascii="Times New Roman" w:hAnsi="Times New Roman" w:cs="Times New Roman"/>
          <w:sz w:val="20"/>
          <w:szCs w:val="20"/>
        </w:rPr>
        <w:t xml:space="preserve">whether to have the mobile IAB-indication in Msg5 depends on whether IAB-donor-CU needs to select an AMF supporting mobile IAB. And as </w:t>
      </w:r>
      <w:r w:rsidR="00350C12" w:rsidRPr="00350C12">
        <w:rPr>
          <w:rFonts w:ascii="Times New Roman" w:hAnsi="Times New Roman" w:cs="Times New Roman"/>
          <w:sz w:val="20"/>
          <w:szCs w:val="20"/>
        </w:rPr>
        <w:t>defined in SA2 and captured in the latest running TS 23. 501 as follow,</w:t>
      </w:r>
      <w:r w:rsidR="00350C12">
        <w:rPr>
          <w:rFonts w:ascii="Times New Roman" w:hAnsi="Times New Roman" w:cs="Times New Roman" w:hint="eastAsia"/>
          <w:sz w:val="20"/>
          <w:szCs w:val="20"/>
        </w:rPr>
        <w:t xml:space="preserve"> </w:t>
      </w:r>
      <w:r w:rsidR="00350C12">
        <w:rPr>
          <w:rFonts w:ascii="Times New Roman" w:hAnsi="Times New Roman" w:cs="Times New Roman"/>
          <w:sz w:val="20"/>
          <w:szCs w:val="20"/>
        </w:rPr>
        <w:t>IAB-donor-CU will select an AMF that supports IAB-node with mobility based on the receiving mobile IAB-</w:t>
      </w:r>
      <w:r w:rsidR="00350C12">
        <w:rPr>
          <w:rFonts w:ascii="Times New Roman" w:hAnsi="Times New Roman" w:cs="Times New Roman"/>
          <w:sz w:val="20"/>
          <w:szCs w:val="20"/>
        </w:rPr>
        <w:lastRenderedPageBreak/>
        <w:t xml:space="preserve">indication. </w:t>
      </w:r>
      <w:r w:rsidR="00BC4EA8">
        <w:rPr>
          <w:rFonts w:ascii="Times New Roman" w:hAnsi="Times New Roman" w:cs="Times New Roman"/>
          <w:sz w:val="20"/>
          <w:szCs w:val="20"/>
        </w:rPr>
        <w:t>In addition, as defined in R16 for fixed IAB-node, the similar procedure has been defined in Msg5. Then, we’d better to design similar procedure for mobile IAB in R18. Otherwise, an LS is needed to inform SA2 to update the procedure defined in TS 23.501.</w:t>
      </w:r>
    </w:p>
    <w:tbl>
      <w:tblPr>
        <w:tblW w:w="9693" w:type="dxa"/>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93"/>
      </w:tblGrid>
      <w:tr w:rsidR="00350C12" w14:paraId="110EAAE4" w14:textId="77777777" w:rsidTr="00067299">
        <w:trPr>
          <w:trHeight w:val="940"/>
        </w:trPr>
        <w:tc>
          <w:tcPr>
            <w:tcW w:w="9693" w:type="dxa"/>
          </w:tcPr>
          <w:p w14:paraId="7249B76C" w14:textId="77777777" w:rsidR="00350C12" w:rsidRDefault="00350C12" w:rsidP="005C7D83">
            <w:pPr>
              <w:pStyle w:val="af2"/>
              <w:spacing w:before="0" w:beforeAutospacing="0" w:after="120" w:afterAutospacing="0"/>
              <w:ind w:left="54"/>
              <w:jc w:val="both"/>
              <w:rPr>
                <w:rFonts w:ascii="Times New Roman" w:hAnsi="Times New Roman" w:cs="Times New Roman"/>
                <w:sz w:val="20"/>
                <w:szCs w:val="20"/>
              </w:rPr>
            </w:pPr>
            <w:r w:rsidRPr="00470972">
              <w:rPr>
                <w:rFonts w:ascii="Times New Roman" w:hAnsi="Times New Roman" w:cs="Times New Roman"/>
                <w:sz w:val="20"/>
                <w:szCs w:val="20"/>
              </w:rPr>
              <w:t xml:space="preserve">For a MBSR node, it provides a mobile IAB-indication to the IAB-donor-CU when the RRC connection is established as defined in TS 38.331 [28]. </w:t>
            </w:r>
            <w:r w:rsidRPr="007E723E">
              <w:rPr>
                <w:rFonts w:ascii="Times New Roman" w:hAnsi="Times New Roman" w:cs="Times New Roman"/>
                <w:sz w:val="20"/>
                <w:szCs w:val="20"/>
                <w:highlight w:val="yellow"/>
              </w:rPr>
              <w:t>When the mobile IAB-indication is received, the IAB-donor-CU selects an AMF that supports IAB-node with mobility</w:t>
            </w:r>
            <w:r w:rsidRPr="00470972">
              <w:rPr>
                <w:rFonts w:ascii="Times New Roman" w:hAnsi="Times New Roman" w:cs="Times New Roman"/>
                <w:sz w:val="20"/>
                <w:szCs w:val="20"/>
              </w:rPr>
              <w:t xml:space="preserve"> and includes the mobile IAB-indication in the N2 INITIAL UE MESSAGE as defined in TS 38.413 [34] so that the AMF can perform mobile IAB authorization as described in clause 5.35A.4.</w:t>
            </w:r>
          </w:p>
        </w:tc>
      </w:tr>
    </w:tbl>
    <w:p w14:paraId="595D7D48" w14:textId="5658E5B9" w:rsidR="009036A3" w:rsidRPr="009036A3" w:rsidRDefault="009036A3" w:rsidP="00067299">
      <w:pPr>
        <w:pStyle w:val="af2"/>
        <w:spacing w:beforeLines="50" w:before="120" w:beforeAutospacing="0" w:after="120" w:afterAutospacing="0"/>
        <w:jc w:val="both"/>
        <w:rPr>
          <w:rFonts w:ascii="Times New Roman" w:hAnsi="Times New Roman" w:cs="Times New Roman"/>
          <w:b/>
          <w:bCs/>
          <w:sz w:val="20"/>
          <w:szCs w:val="20"/>
        </w:rPr>
      </w:pPr>
      <w:r>
        <w:rPr>
          <w:rFonts w:ascii="Times New Roman" w:hAnsi="Times New Roman" w:cs="Times New Roman"/>
          <w:b/>
          <w:bCs/>
          <w:sz w:val="20"/>
          <w:szCs w:val="20"/>
        </w:rPr>
        <w:t xml:space="preserve">Proposal </w:t>
      </w:r>
      <w:r w:rsidR="00F5677C">
        <w:rPr>
          <w:rFonts w:ascii="Times New Roman" w:hAnsi="Times New Roman" w:cs="Times New Roman"/>
          <w:b/>
          <w:bCs/>
          <w:sz w:val="20"/>
          <w:szCs w:val="20"/>
        </w:rPr>
        <w:t>6</w:t>
      </w:r>
      <w:r>
        <w:rPr>
          <w:rFonts w:ascii="Times New Roman" w:hAnsi="Times New Roman" w:cs="Times New Roman"/>
          <w:b/>
          <w:bCs/>
          <w:sz w:val="20"/>
          <w:szCs w:val="20"/>
        </w:rPr>
        <w:t>: Mobile IAB-node includes a mobile IAB-indication in M</w:t>
      </w:r>
      <w:r w:rsidR="00C70120">
        <w:rPr>
          <w:rFonts w:ascii="Times New Roman" w:hAnsi="Times New Roman" w:cs="Times New Roman"/>
          <w:b/>
          <w:bCs/>
          <w:sz w:val="20"/>
          <w:szCs w:val="20"/>
        </w:rPr>
        <w:t>sg</w:t>
      </w:r>
      <w:r>
        <w:rPr>
          <w:rFonts w:ascii="Times New Roman" w:hAnsi="Times New Roman" w:cs="Times New Roman"/>
          <w:b/>
          <w:bCs/>
          <w:sz w:val="20"/>
          <w:szCs w:val="20"/>
        </w:rPr>
        <w:t>5.</w:t>
      </w:r>
    </w:p>
    <w:p w14:paraId="03BD1BBD" w14:textId="77777777" w:rsidR="009036A3" w:rsidRPr="0066723C" w:rsidRDefault="009036A3" w:rsidP="009036A3">
      <w:pPr>
        <w:widowControl/>
        <w:overflowPunct w:val="0"/>
        <w:autoSpaceDE w:val="0"/>
        <w:autoSpaceDN w:val="0"/>
        <w:adjustRightInd w:val="0"/>
        <w:spacing w:beforeLines="50" w:before="120" w:after="180"/>
        <w:textAlignment w:val="baseline"/>
        <w:rPr>
          <w:rFonts w:ascii="Times New Roman" w:eastAsia="宋体" w:hAnsi="Times New Roman" w:cs="Times New Roman"/>
          <w:b/>
          <w:bCs/>
          <w:kern w:val="0"/>
          <w:sz w:val="22"/>
          <w:u w:val="single"/>
        </w:rPr>
      </w:pPr>
      <w:r w:rsidRPr="008C2BCF">
        <w:rPr>
          <w:rFonts w:ascii="Times New Roman" w:eastAsia="宋体" w:hAnsi="Times New Roman" w:cs="Times New Roman"/>
          <w:b/>
          <w:bCs/>
          <w:kern w:val="0"/>
          <w:sz w:val="22"/>
          <w:u w:val="single"/>
        </w:rPr>
        <w:t>Fixed IAB-node handover</w:t>
      </w:r>
    </w:p>
    <w:p w14:paraId="0AC699B7" w14:textId="223C8EED" w:rsidR="00327596" w:rsidRDefault="00327596" w:rsidP="00327596">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For the mobile IAB-node, </w:t>
      </w:r>
      <w:r>
        <w:rPr>
          <w:rFonts w:ascii="Times New Roman" w:eastAsia="宋体" w:hAnsi="Times New Roman" w:cs="Times New Roman" w:hint="eastAsia"/>
          <w:kern w:val="0"/>
          <w:sz w:val="20"/>
          <w:szCs w:val="20"/>
        </w:rPr>
        <w:t>i</w:t>
      </w:r>
      <w:r>
        <w:rPr>
          <w:rFonts w:ascii="Times New Roman" w:eastAsia="宋体" w:hAnsi="Times New Roman" w:cs="Times New Roman"/>
          <w:kern w:val="0"/>
          <w:sz w:val="20"/>
          <w:szCs w:val="20"/>
        </w:rPr>
        <w:t>t</w:t>
      </w:r>
      <w:r w:rsidRPr="00E44D1E">
        <w:rPr>
          <w:rFonts w:ascii="Times New Roman" w:eastAsia="宋体" w:hAnsi="Times New Roman" w:cs="Times New Roman"/>
          <w:kern w:val="0"/>
          <w:sz w:val="20"/>
          <w:szCs w:val="20"/>
        </w:rPr>
        <w:t xml:space="preserve"> should have no descendent IAB-nodes</w:t>
      </w:r>
      <w:r>
        <w:rPr>
          <w:rFonts w:ascii="Times New Roman" w:eastAsia="宋体" w:hAnsi="Times New Roman" w:cs="Times New Roman"/>
          <w:kern w:val="0"/>
          <w:sz w:val="20"/>
          <w:szCs w:val="20"/>
        </w:rPr>
        <w:t xml:space="preserve"> and only</w:t>
      </w:r>
      <w:r w:rsidRPr="00E44D1E">
        <w:rPr>
          <w:rFonts w:ascii="Times New Roman" w:eastAsia="宋体" w:hAnsi="Times New Roman" w:cs="Times New Roman"/>
          <w:kern w:val="0"/>
          <w:sz w:val="20"/>
          <w:szCs w:val="20"/>
        </w:rPr>
        <w:t xml:space="preserve"> serve</w:t>
      </w:r>
      <w:r>
        <w:rPr>
          <w:rFonts w:ascii="Times New Roman" w:eastAsia="宋体" w:hAnsi="Times New Roman" w:cs="Times New Roman"/>
          <w:kern w:val="0"/>
          <w:sz w:val="20"/>
          <w:szCs w:val="20"/>
        </w:rPr>
        <w:t xml:space="preserve"> for</w:t>
      </w:r>
      <w:r w:rsidRPr="00E44D1E">
        <w:rPr>
          <w:rFonts w:ascii="Times New Roman" w:eastAsia="宋体" w:hAnsi="Times New Roman" w:cs="Times New Roman"/>
          <w:kern w:val="0"/>
          <w:sz w:val="20"/>
          <w:szCs w:val="20"/>
        </w:rPr>
        <w:t xml:space="preserve"> UEs</w:t>
      </w:r>
      <w:r>
        <w:rPr>
          <w:rFonts w:ascii="Times New Roman" w:eastAsia="宋体" w:hAnsi="Times New Roman" w:cs="Times New Roman"/>
          <w:kern w:val="0"/>
          <w:sz w:val="20"/>
          <w:szCs w:val="20"/>
        </w:rPr>
        <w:t xml:space="preserve"> as defined in the WID.</w:t>
      </w:r>
      <w:r>
        <w:rPr>
          <w:rFonts w:ascii="Times New Roman" w:eastAsia="宋体" w:hAnsi="Times New Roman" w:cs="Times New Roman" w:hint="eastAsia"/>
          <w:kern w:val="0"/>
          <w:sz w:val="20"/>
          <w:szCs w:val="20"/>
        </w:rPr>
        <w:t xml:space="preserve"> I</w:t>
      </w:r>
      <w:r>
        <w:rPr>
          <w:rFonts w:ascii="Times New Roman" w:eastAsia="宋体" w:hAnsi="Times New Roman" w:cs="Times New Roman"/>
          <w:kern w:val="0"/>
          <w:sz w:val="20"/>
          <w:szCs w:val="20"/>
        </w:rPr>
        <w:t>n RAN2 119 e-meeting, RAN2 has agreed that t</w:t>
      </w:r>
      <w:r w:rsidRPr="00622D67">
        <w:rPr>
          <w:rFonts w:ascii="Times New Roman" w:eastAsia="宋体" w:hAnsi="Times New Roman" w:cs="Times New Roman"/>
          <w:kern w:val="0"/>
          <w:sz w:val="20"/>
          <w:szCs w:val="20"/>
        </w:rPr>
        <w:t>he method of not broadcasting “</w:t>
      </w:r>
      <w:proofErr w:type="spellStart"/>
      <w:r w:rsidRPr="00622D67">
        <w:rPr>
          <w:rFonts w:ascii="Times New Roman" w:eastAsia="宋体" w:hAnsi="Times New Roman" w:cs="Times New Roman"/>
          <w:kern w:val="0"/>
          <w:sz w:val="20"/>
          <w:szCs w:val="20"/>
        </w:rPr>
        <w:t>iab</w:t>
      </w:r>
      <w:proofErr w:type="spellEnd"/>
      <w:r w:rsidRPr="00622D67">
        <w:rPr>
          <w:rFonts w:ascii="Times New Roman" w:eastAsia="宋体" w:hAnsi="Times New Roman" w:cs="Times New Roman"/>
          <w:kern w:val="0"/>
          <w:sz w:val="20"/>
          <w:szCs w:val="20"/>
        </w:rPr>
        <w:t>-Support” indication is sufficient to prevent other IAB-node from accessing mobile IAB</w:t>
      </w:r>
      <w:r>
        <w:rPr>
          <w:rFonts w:ascii="Times New Roman" w:eastAsia="宋体" w:hAnsi="Times New Roman" w:cs="Times New Roman"/>
          <w:kern w:val="0"/>
          <w:sz w:val="20"/>
          <w:szCs w:val="20"/>
        </w:rPr>
        <w:t>-node</w:t>
      </w:r>
      <w:r w:rsidRPr="00622D67">
        <w:rPr>
          <w:rFonts w:ascii="Times New Roman" w:eastAsia="宋体" w:hAnsi="Times New Roman" w:cs="Times New Roman"/>
          <w:kern w:val="0"/>
          <w:sz w:val="20"/>
          <w:szCs w:val="20"/>
        </w:rPr>
        <w:t>.</w:t>
      </w:r>
      <w:r>
        <w:rPr>
          <w:rFonts w:ascii="Times New Roman" w:eastAsia="宋体" w:hAnsi="Times New Roman" w:cs="Times New Roman"/>
          <w:kern w:val="0"/>
          <w:sz w:val="20"/>
          <w:szCs w:val="20"/>
        </w:rPr>
        <w:t xml:space="preserve"> However, the </w:t>
      </w:r>
      <w:r w:rsidRPr="00622D67">
        <w:rPr>
          <w:rFonts w:ascii="Times New Roman" w:eastAsia="宋体" w:hAnsi="Times New Roman" w:cs="Times New Roman"/>
          <w:kern w:val="0"/>
          <w:sz w:val="20"/>
          <w:szCs w:val="20"/>
        </w:rPr>
        <w:t>“</w:t>
      </w:r>
      <w:proofErr w:type="spellStart"/>
      <w:r w:rsidRPr="00622D67">
        <w:rPr>
          <w:rFonts w:ascii="Times New Roman" w:eastAsia="宋体" w:hAnsi="Times New Roman" w:cs="Times New Roman"/>
          <w:kern w:val="0"/>
          <w:sz w:val="20"/>
          <w:szCs w:val="20"/>
        </w:rPr>
        <w:t>iab</w:t>
      </w:r>
      <w:proofErr w:type="spellEnd"/>
      <w:r w:rsidRPr="00622D67">
        <w:rPr>
          <w:rFonts w:ascii="Times New Roman" w:eastAsia="宋体" w:hAnsi="Times New Roman" w:cs="Times New Roman"/>
          <w:kern w:val="0"/>
          <w:sz w:val="20"/>
          <w:szCs w:val="20"/>
        </w:rPr>
        <w:t>-Support” indication</w:t>
      </w:r>
      <w:r>
        <w:rPr>
          <w:rFonts w:ascii="Times New Roman" w:eastAsia="宋体" w:hAnsi="Times New Roman" w:cs="Times New Roman"/>
          <w:kern w:val="0"/>
          <w:sz w:val="20"/>
          <w:szCs w:val="20"/>
        </w:rPr>
        <w:t xml:space="preserve"> is only applied for IAB-node integration procedure, it needs to avoid that a source IAB-donor-CU to configure measurement to an IAB-node with a potential cell belonging to a mobile IAB-node, and the source IAB-donor-CU to trigger handover of the IAB-node to the mobile IAB-node cell. Therefore, the </w:t>
      </w:r>
      <w:r w:rsidRPr="00E01663">
        <w:rPr>
          <w:rFonts w:ascii="Times New Roman" w:eastAsia="宋体" w:hAnsi="Times New Roman" w:cs="Times New Roman"/>
          <w:kern w:val="0"/>
          <w:sz w:val="20"/>
          <w:szCs w:val="20"/>
        </w:rPr>
        <w:t xml:space="preserve">source </w:t>
      </w:r>
      <w:r>
        <w:rPr>
          <w:rFonts w:ascii="Times New Roman" w:eastAsia="宋体" w:hAnsi="Times New Roman" w:cs="Times New Roman"/>
          <w:kern w:val="0"/>
          <w:sz w:val="20"/>
          <w:szCs w:val="20"/>
        </w:rPr>
        <w:t>IAB-donor-</w:t>
      </w:r>
      <w:r w:rsidRPr="00E01663">
        <w:rPr>
          <w:rFonts w:ascii="Times New Roman" w:eastAsia="宋体" w:hAnsi="Times New Roman" w:cs="Times New Roman"/>
          <w:kern w:val="0"/>
          <w:sz w:val="20"/>
          <w:szCs w:val="20"/>
        </w:rPr>
        <w:t xml:space="preserve">CU of a </w:t>
      </w:r>
      <w:r>
        <w:rPr>
          <w:rFonts w:ascii="Times New Roman" w:eastAsia="宋体" w:hAnsi="Times New Roman" w:cs="Times New Roman"/>
          <w:kern w:val="0"/>
          <w:sz w:val="20"/>
          <w:szCs w:val="20"/>
        </w:rPr>
        <w:t xml:space="preserve">fixed </w:t>
      </w:r>
      <w:r w:rsidRPr="00E01663">
        <w:rPr>
          <w:rFonts w:ascii="Times New Roman" w:eastAsia="宋体" w:hAnsi="Times New Roman" w:cs="Times New Roman"/>
          <w:kern w:val="0"/>
          <w:sz w:val="20"/>
          <w:szCs w:val="20"/>
        </w:rPr>
        <w:t xml:space="preserve">IAB-node should </w:t>
      </w:r>
      <w:r>
        <w:rPr>
          <w:rFonts w:ascii="Times New Roman" w:eastAsia="宋体" w:hAnsi="Times New Roman" w:cs="Times New Roman"/>
          <w:kern w:val="0"/>
          <w:sz w:val="20"/>
          <w:szCs w:val="20"/>
        </w:rPr>
        <w:t>be aware of</w:t>
      </w:r>
      <w:r w:rsidRPr="00E01663">
        <w:rPr>
          <w:rFonts w:ascii="Times New Roman" w:eastAsia="宋体" w:hAnsi="Times New Roman" w:cs="Times New Roman"/>
          <w:kern w:val="0"/>
          <w:sz w:val="20"/>
          <w:szCs w:val="20"/>
        </w:rPr>
        <w:t xml:space="preserve"> whether the </w:t>
      </w:r>
      <w:r>
        <w:rPr>
          <w:rFonts w:ascii="Times New Roman" w:eastAsia="宋体" w:hAnsi="Times New Roman" w:cs="Times New Roman"/>
          <w:kern w:val="0"/>
          <w:sz w:val="20"/>
          <w:szCs w:val="20"/>
        </w:rPr>
        <w:t xml:space="preserve">potential </w:t>
      </w:r>
      <w:r w:rsidRPr="00E01663">
        <w:rPr>
          <w:rFonts w:ascii="Times New Roman" w:eastAsia="宋体" w:hAnsi="Times New Roman" w:cs="Times New Roman"/>
          <w:kern w:val="0"/>
          <w:sz w:val="20"/>
          <w:szCs w:val="20"/>
        </w:rPr>
        <w:t>target cell belong</w:t>
      </w:r>
      <w:r>
        <w:rPr>
          <w:rFonts w:ascii="Times New Roman" w:eastAsia="宋体" w:hAnsi="Times New Roman" w:cs="Times New Roman"/>
          <w:kern w:val="0"/>
          <w:sz w:val="20"/>
          <w:szCs w:val="20"/>
        </w:rPr>
        <w:t>s</w:t>
      </w:r>
      <w:r w:rsidRPr="00E01663">
        <w:rPr>
          <w:rFonts w:ascii="Times New Roman" w:eastAsia="宋体" w:hAnsi="Times New Roman" w:cs="Times New Roman"/>
          <w:kern w:val="0"/>
          <w:sz w:val="20"/>
          <w:szCs w:val="20"/>
        </w:rPr>
        <w:t xml:space="preserve"> to a mobile IAB-node.</w:t>
      </w:r>
    </w:p>
    <w:p w14:paraId="3EA15613" w14:textId="2A489807" w:rsidR="00692D0D" w:rsidRDefault="00327596" w:rsidP="002D414F">
      <w:pPr>
        <w:pStyle w:val="af2"/>
        <w:spacing w:before="0" w:beforeAutospacing="0" w:after="120" w:afterAutospacing="0"/>
        <w:jc w:val="both"/>
        <w:rPr>
          <w:rFonts w:ascii="Times New Roman" w:hAnsi="Times New Roman" w:cs="Times New Roman"/>
          <w:b/>
          <w:bCs/>
          <w:sz w:val="20"/>
          <w:szCs w:val="20"/>
        </w:rPr>
      </w:pPr>
      <w:bookmarkStart w:id="2" w:name="OLE_LINK14"/>
      <w:r w:rsidRPr="00AC00B6">
        <w:rPr>
          <w:rFonts w:ascii="Times New Roman" w:hAnsi="Times New Roman" w:cs="Times New Roman"/>
          <w:b/>
          <w:bCs/>
          <w:sz w:val="20"/>
          <w:szCs w:val="20"/>
        </w:rPr>
        <w:t xml:space="preserve">Proposal </w:t>
      </w:r>
      <w:r w:rsidR="00F5677C">
        <w:rPr>
          <w:rFonts w:ascii="Times New Roman" w:hAnsi="Times New Roman" w:cs="Times New Roman"/>
          <w:b/>
          <w:bCs/>
          <w:sz w:val="20"/>
          <w:szCs w:val="20"/>
        </w:rPr>
        <w:t>7</w:t>
      </w:r>
      <w:r w:rsidRPr="00AC00B6">
        <w:rPr>
          <w:rFonts w:ascii="Times New Roman" w:hAnsi="Times New Roman" w:cs="Times New Roman"/>
          <w:b/>
          <w:bCs/>
          <w:sz w:val="20"/>
          <w:szCs w:val="20"/>
        </w:rPr>
        <w:t xml:space="preserve">: </w:t>
      </w:r>
      <w:r>
        <w:rPr>
          <w:rFonts w:ascii="Times New Roman" w:hAnsi="Times New Roman" w:cs="Times New Roman"/>
          <w:b/>
          <w:bCs/>
          <w:sz w:val="20"/>
          <w:szCs w:val="20"/>
        </w:rPr>
        <w:t>S</w:t>
      </w:r>
      <w:r w:rsidRPr="00AC00B6">
        <w:rPr>
          <w:rFonts w:ascii="Times New Roman" w:hAnsi="Times New Roman" w:cs="Times New Roman"/>
          <w:b/>
          <w:bCs/>
          <w:sz w:val="20"/>
          <w:szCs w:val="20"/>
        </w:rPr>
        <w:t xml:space="preserve">ource </w:t>
      </w:r>
      <w:r>
        <w:rPr>
          <w:rFonts w:ascii="Times New Roman" w:hAnsi="Times New Roman" w:cs="Times New Roman"/>
          <w:b/>
          <w:bCs/>
          <w:sz w:val="20"/>
          <w:szCs w:val="20"/>
        </w:rPr>
        <w:t>IAB-donor-</w:t>
      </w:r>
      <w:r w:rsidRPr="00AC00B6">
        <w:rPr>
          <w:rFonts w:ascii="Times New Roman" w:hAnsi="Times New Roman" w:cs="Times New Roman"/>
          <w:b/>
          <w:bCs/>
          <w:sz w:val="20"/>
          <w:szCs w:val="20"/>
        </w:rPr>
        <w:t>CU of a</w:t>
      </w:r>
      <w:r>
        <w:rPr>
          <w:rFonts w:ascii="Times New Roman" w:hAnsi="Times New Roman" w:cs="Times New Roman"/>
          <w:b/>
          <w:bCs/>
          <w:sz w:val="20"/>
          <w:szCs w:val="20"/>
        </w:rPr>
        <w:t xml:space="preserve"> fixed</w:t>
      </w:r>
      <w:r w:rsidRPr="00AC00B6">
        <w:rPr>
          <w:rFonts w:ascii="Times New Roman" w:hAnsi="Times New Roman" w:cs="Times New Roman"/>
          <w:b/>
          <w:bCs/>
          <w:sz w:val="20"/>
          <w:szCs w:val="20"/>
        </w:rPr>
        <w:t xml:space="preserve"> IAB-node should </w:t>
      </w:r>
      <w:r>
        <w:rPr>
          <w:rFonts w:ascii="Times New Roman" w:hAnsi="Times New Roman" w:cs="Times New Roman"/>
          <w:b/>
          <w:bCs/>
          <w:sz w:val="20"/>
          <w:szCs w:val="20"/>
        </w:rPr>
        <w:t>be aware of</w:t>
      </w:r>
      <w:r w:rsidRPr="00AC00B6">
        <w:rPr>
          <w:rFonts w:ascii="Times New Roman" w:hAnsi="Times New Roman" w:cs="Times New Roman"/>
          <w:b/>
          <w:bCs/>
          <w:sz w:val="20"/>
          <w:szCs w:val="20"/>
        </w:rPr>
        <w:t xml:space="preserve"> whether the </w:t>
      </w:r>
      <w:r>
        <w:rPr>
          <w:rFonts w:ascii="Times New Roman" w:hAnsi="Times New Roman" w:cs="Times New Roman"/>
          <w:b/>
          <w:bCs/>
          <w:sz w:val="20"/>
          <w:szCs w:val="20"/>
        </w:rPr>
        <w:t xml:space="preserve">potential </w:t>
      </w:r>
      <w:r w:rsidRPr="00AC00B6">
        <w:rPr>
          <w:rFonts w:ascii="Times New Roman" w:hAnsi="Times New Roman" w:cs="Times New Roman" w:hint="eastAsia"/>
          <w:b/>
          <w:bCs/>
          <w:sz w:val="20"/>
          <w:szCs w:val="20"/>
        </w:rPr>
        <w:t>target cell belong</w:t>
      </w:r>
      <w:r>
        <w:rPr>
          <w:rFonts w:ascii="Times New Roman" w:hAnsi="Times New Roman" w:cs="Times New Roman"/>
          <w:b/>
          <w:bCs/>
          <w:sz w:val="20"/>
          <w:szCs w:val="20"/>
        </w:rPr>
        <w:t>s</w:t>
      </w:r>
      <w:r w:rsidRPr="00AC00B6">
        <w:rPr>
          <w:rFonts w:ascii="Times New Roman" w:hAnsi="Times New Roman" w:cs="Times New Roman" w:hint="eastAsia"/>
          <w:b/>
          <w:bCs/>
          <w:sz w:val="20"/>
          <w:szCs w:val="20"/>
        </w:rPr>
        <w:t xml:space="preserve"> to a mobile IAB-node</w:t>
      </w:r>
      <w:r w:rsidRPr="00AC00B6">
        <w:rPr>
          <w:rFonts w:ascii="Times New Roman" w:hAnsi="Times New Roman" w:cs="Times New Roman"/>
          <w:b/>
          <w:bCs/>
          <w:sz w:val="20"/>
          <w:szCs w:val="20"/>
        </w:rPr>
        <w:t>.</w:t>
      </w:r>
      <w:bookmarkEnd w:id="2"/>
    </w:p>
    <w:p w14:paraId="7A1DA3AD" w14:textId="77777777" w:rsidR="00AA3FAE" w:rsidRPr="00AA3FAE" w:rsidRDefault="00AA3FAE" w:rsidP="00AA3FAE">
      <w:pPr>
        <w:keepNext/>
        <w:keepLines/>
        <w:widowControl/>
        <w:pBdr>
          <w:top w:val="single" w:sz="12" w:space="3" w:color="auto"/>
        </w:pBdr>
        <w:tabs>
          <w:tab w:val="num" w:pos="432"/>
        </w:tabs>
        <w:overflowPunct w:val="0"/>
        <w:autoSpaceDE w:val="0"/>
        <w:autoSpaceDN w:val="0"/>
        <w:adjustRightInd w:val="0"/>
        <w:spacing w:before="240" w:after="180"/>
        <w:ind w:left="432" w:hanging="432"/>
        <w:jc w:val="left"/>
        <w:textAlignment w:val="baseline"/>
        <w:outlineLvl w:val="0"/>
        <w:rPr>
          <w:rFonts w:ascii="Arial" w:eastAsia="宋体" w:hAnsi="Arial" w:cs="Times New Roman"/>
          <w:kern w:val="0"/>
          <w:sz w:val="36"/>
          <w:szCs w:val="36"/>
          <w:lang w:val="en-GB"/>
        </w:rPr>
      </w:pPr>
      <w:r w:rsidRPr="00AA3FAE">
        <w:rPr>
          <w:rFonts w:ascii="Arial" w:eastAsia="宋体" w:hAnsi="Arial" w:cs="Times New Roman"/>
          <w:kern w:val="0"/>
          <w:sz w:val="36"/>
          <w:szCs w:val="36"/>
          <w:lang w:val="en-GB"/>
        </w:rPr>
        <w:t>Conclusion</w:t>
      </w:r>
    </w:p>
    <w:p w14:paraId="5E1D131E" w14:textId="78E257A4" w:rsidR="00AA3FAE" w:rsidRDefault="00AA3FAE" w:rsidP="00AA3FAE">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sidRPr="00AA3FAE">
        <w:rPr>
          <w:rFonts w:ascii="Times New Roman" w:eastAsia="宋体" w:hAnsi="Times New Roman" w:cs="Times New Roman"/>
          <w:kern w:val="0"/>
          <w:sz w:val="20"/>
          <w:szCs w:val="20"/>
        </w:rPr>
        <w:t>Th</w:t>
      </w:r>
      <w:r w:rsidR="00F862F2">
        <w:rPr>
          <w:rFonts w:ascii="Times New Roman" w:eastAsia="宋体" w:hAnsi="Times New Roman" w:cs="Times New Roman"/>
          <w:kern w:val="0"/>
          <w:sz w:val="20"/>
          <w:szCs w:val="20"/>
        </w:rPr>
        <w:t xml:space="preserve">is contribution aims to </w:t>
      </w:r>
      <w:r w:rsidR="00AC214F">
        <w:rPr>
          <w:rFonts w:ascii="Times New Roman" w:eastAsia="宋体" w:hAnsi="Times New Roman" w:cs="Times New Roman"/>
          <w:kern w:val="0"/>
          <w:sz w:val="20"/>
          <w:szCs w:val="20"/>
        </w:rPr>
        <w:t xml:space="preserve">discuss </w:t>
      </w:r>
      <w:r w:rsidR="00AC214F">
        <w:rPr>
          <w:rFonts w:ascii="Times New Roman" w:eastAsia="宋体" w:hAnsi="Times New Roman" w:cs="Times New Roman" w:hint="eastAsia"/>
          <w:kern w:val="0"/>
          <w:sz w:val="20"/>
          <w:szCs w:val="20"/>
        </w:rPr>
        <w:t>e</w:t>
      </w:r>
      <w:r w:rsidR="00AC214F" w:rsidRPr="00853907">
        <w:rPr>
          <w:rFonts w:ascii="Times New Roman" w:eastAsia="宋体" w:hAnsi="Times New Roman" w:cs="Times New Roman"/>
          <w:kern w:val="0"/>
          <w:sz w:val="20"/>
          <w:szCs w:val="20"/>
        </w:rPr>
        <w:t>nhancements for mobility of an IAB-node together with its served UEs</w:t>
      </w:r>
      <w:r w:rsidR="00F862F2">
        <w:rPr>
          <w:rFonts w:ascii="Times New Roman" w:eastAsia="宋体" w:hAnsi="Times New Roman" w:cs="Times New Roman"/>
          <w:kern w:val="0"/>
          <w:sz w:val="20"/>
          <w:szCs w:val="20"/>
        </w:rPr>
        <w:t>. And following observations and proposals are concluded.</w:t>
      </w:r>
    </w:p>
    <w:p w14:paraId="65A92CEC" w14:textId="77777777" w:rsidR="00A54ACE" w:rsidRPr="003B0384" w:rsidRDefault="00A54ACE" w:rsidP="00A54ACE">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3B0384">
        <w:rPr>
          <w:rFonts w:ascii="Times New Roman" w:eastAsia="宋体" w:hAnsi="Times New Roman" w:cs="Times New Roman" w:hint="eastAsia"/>
          <w:b/>
          <w:bCs/>
          <w:kern w:val="0"/>
          <w:sz w:val="20"/>
          <w:szCs w:val="20"/>
        </w:rPr>
        <w:t>P</w:t>
      </w:r>
      <w:r w:rsidRPr="003B0384">
        <w:rPr>
          <w:rFonts w:ascii="Times New Roman" w:eastAsia="宋体" w:hAnsi="Times New Roman" w:cs="Times New Roman"/>
          <w:b/>
          <w:bCs/>
          <w:kern w:val="0"/>
          <w:sz w:val="20"/>
          <w:szCs w:val="20"/>
        </w:rPr>
        <w:t xml:space="preserve">roposal 1: </w:t>
      </w:r>
      <w:r>
        <w:rPr>
          <w:rFonts w:ascii="Times New Roman" w:eastAsia="宋体" w:hAnsi="Times New Roman" w:cs="Times New Roman"/>
          <w:b/>
          <w:bCs/>
          <w:kern w:val="0"/>
          <w:sz w:val="20"/>
          <w:szCs w:val="20"/>
        </w:rPr>
        <w:t>Legacy CHO procedure can be reused by the served UEs of mobile IAB-node, and source IAB-DU powers down the cells by implementation to trigger the CHO.</w:t>
      </w:r>
    </w:p>
    <w:p w14:paraId="262D5525" w14:textId="77777777" w:rsidR="00A54ACE" w:rsidRPr="00966CD3" w:rsidRDefault="00A54ACE" w:rsidP="00A54ACE">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966CD3">
        <w:rPr>
          <w:rFonts w:ascii="Times New Roman" w:eastAsia="宋体" w:hAnsi="Times New Roman" w:cs="Times New Roman" w:hint="eastAsia"/>
          <w:b/>
          <w:bCs/>
          <w:kern w:val="0"/>
          <w:sz w:val="20"/>
          <w:szCs w:val="20"/>
        </w:rPr>
        <w:t>P</w:t>
      </w:r>
      <w:r w:rsidRPr="00966CD3">
        <w:rPr>
          <w:rFonts w:ascii="Times New Roman" w:eastAsia="宋体" w:hAnsi="Times New Roman" w:cs="Times New Roman"/>
          <w:b/>
          <w:bCs/>
          <w:kern w:val="0"/>
          <w:sz w:val="20"/>
          <w:szCs w:val="20"/>
        </w:rPr>
        <w:t>roposal 2: Use LTE RACH-less handover procedure as baseline for served UEs of the mobile IAB-node.</w:t>
      </w:r>
    </w:p>
    <w:p w14:paraId="34282623" w14:textId="77777777" w:rsidR="00A54ACE" w:rsidRDefault="00A54ACE" w:rsidP="00A54ACE">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F612F9">
        <w:rPr>
          <w:rFonts w:ascii="Times New Roman" w:eastAsia="宋体" w:hAnsi="Times New Roman" w:cs="Times New Roman" w:hint="eastAsia"/>
          <w:b/>
          <w:bCs/>
          <w:kern w:val="0"/>
          <w:sz w:val="20"/>
          <w:szCs w:val="20"/>
        </w:rPr>
        <w:t>P</w:t>
      </w:r>
      <w:r w:rsidRPr="00F612F9">
        <w:rPr>
          <w:rFonts w:ascii="Times New Roman" w:eastAsia="宋体" w:hAnsi="Times New Roman" w:cs="Times New Roman"/>
          <w:b/>
          <w:bCs/>
          <w:kern w:val="0"/>
          <w:sz w:val="20"/>
          <w:szCs w:val="20"/>
        </w:rPr>
        <w:t xml:space="preserve">roposal </w:t>
      </w:r>
      <w:r>
        <w:rPr>
          <w:rFonts w:ascii="Times New Roman" w:eastAsia="宋体" w:hAnsi="Times New Roman" w:cs="Times New Roman"/>
          <w:b/>
          <w:bCs/>
          <w:kern w:val="0"/>
          <w:sz w:val="20"/>
          <w:szCs w:val="20"/>
        </w:rPr>
        <w:t>3</w:t>
      </w:r>
      <w:r w:rsidRPr="00F612F9">
        <w:rPr>
          <w:rFonts w:ascii="Times New Roman" w:eastAsia="宋体" w:hAnsi="Times New Roman" w:cs="Times New Roman"/>
          <w:b/>
          <w:bCs/>
          <w:kern w:val="0"/>
          <w:sz w:val="20"/>
          <w:szCs w:val="20"/>
        </w:rPr>
        <w:t xml:space="preserve">: </w:t>
      </w:r>
      <w:r>
        <w:rPr>
          <w:rFonts w:ascii="Times New Roman" w:eastAsia="宋体" w:hAnsi="Times New Roman" w:cs="Times New Roman"/>
          <w:b/>
          <w:bCs/>
          <w:kern w:val="0"/>
          <w:sz w:val="20"/>
          <w:szCs w:val="20"/>
        </w:rPr>
        <w:t>Include o</w:t>
      </w:r>
      <w:r w:rsidRPr="00F612F9">
        <w:rPr>
          <w:rFonts w:ascii="Times New Roman" w:eastAsia="宋体" w:hAnsi="Times New Roman" w:cs="Times New Roman"/>
          <w:b/>
          <w:bCs/>
          <w:kern w:val="0"/>
          <w:sz w:val="20"/>
          <w:szCs w:val="20"/>
        </w:rPr>
        <w:t xml:space="preserve">n-board/surrounding </w:t>
      </w:r>
      <w:r w:rsidRPr="0002183F">
        <w:rPr>
          <w:rFonts w:ascii="Times New Roman" w:eastAsia="宋体" w:hAnsi="Times New Roman" w:cs="Times New Roman"/>
          <w:b/>
          <w:bCs/>
          <w:kern w:val="0"/>
          <w:sz w:val="20"/>
          <w:szCs w:val="20"/>
        </w:rPr>
        <w:t xml:space="preserve">status </w:t>
      </w:r>
      <w:r w:rsidRPr="00F612F9">
        <w:rPr>
          <w:rFonts w:ascii="Times New Roman" w:eastAsia="宋体" w:hAnsi="Times New Roman" w:cs="Times New Roman"/>
          <w:b/>
          <w:bCs/>
          <w:kern w:val="0"/>
          <w:sz w:val="20"/>
          <w:szCs w:val="20"/>
        </w:rPr>
        <w:t>of UE in the handover request message.</w:t>
      </w:r>
    </w:p>
    <w:p w14:paraId="034BE150" w14:textId="77777777" w:rsidR="00A54ACE" w:rsidRDefault="00A54ACE" w:rsidP="00A54ACE">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02183F">
        <w:rPr>
          <w:rFonts w:ascii="Times New Roman" w:eastAsia="宋体" w:hAnsi="Times New Roman" w:cs="Times New Roman"/>
          <w:b/>
          <w:bCs/>
          <w:kern w:val="0"/>
          <w:sz w:val="20"/>
          <w:szCs w:val="20"/>
        </w:rPr>
        <w:t xml:space="preserve">Proposal </w:t>
      </w:r>
      <w:r>
        <w:rPr>
          <w:rFonts w:ascii="Times New Roman" w:eastAsia="宋体" w:hAnsi="Times New Roman" w:cs="Times New Roman"/>
          <w:b/>
          <w:bCs/>
          <w:kern w:val="0"/>
          <w:sz w:val="20"/>
          <w:szCs w:val="20"/>
        </w:rPr>
        <w:t>4</w:t>
      </w:r>
      <w:r w:rsidRPr="0002183F">
        <w:rPr>
          <w:rFonts w:ascii="Times New Roman" w:eastAsia="宋体" w:hAnsi="Times New Roman" w:cs="Times New Roman"/>
          <w:b/>
          <w:bCs/>
          <w:kern w:val="0"/>
          <w:sz w:val="20"/>
          <w:szCs w:val="20"/>
        </w:rPr>
        <w:t xml:space="preserve">: UE reports its onboard/surrounding status to </w:t>
      </w:r>
      <w:r>
        <w:rPr>
          <w:rFonts w:ascii="Times New Roman" w:eastAsia="宋体" w:hAnsi="Times New Roman" w:cs="Times New Roman"/>
          <w:b/>
          <w:bCs/>
          <w:kern w:val="0"/>
          <w:sz w:val="20"/>
          <w:szCs w:val="20"/>
        </w:rPr>
        <w:t>IAB-donor</w:t>
      </w:r>
      <w:r w:rsidRPr="0002183F">
        <w:rPr>
          <w:rFonts w:ascii="Times New Roman" w:eastAsia="宋体" w:hAnsi="Times New Roman" w:cs="Times New Roman"/>
          <w:b/>
          <w:bCs/>
          <w:kern w:val="0"/>
          <w:sz w:val="20"/>
          <w:szCs w:val="20"/>
        </w:rPr>
        <w:t xml:space="preserve"> once it determine</w:t>
      </w:r>
      <w:r>
        <w:rPr>
          <w:rFonts w:ascii="Times New Roman" w:eastAsia="宋体" w:hAnsi="Times New Roman" w:cs="Times New Roman"/>
          <w:b/>
          <w:bCs/>
          <w:kern w:val="0"/>
          <w:sz w:val="20"/>
          <w:szCs w:val="20"/>
        </w:rPr>
        <w:t>s</w:t>
      </w:r>
      <w:r w:rsidRPr="0002183F">
        <w:rPr>
          <w:rFonts w:ascii="Times New Roman" w:eastAsia="宋体" w:hAnsi="Times New Roman" w:cs="Times New Roman"/>
          <w:b/>
          <w:bCs/>
          <w:kern w:val="0"/>
          <w:sz w:val="20"/>
          <w:szCs w:val="20"/>
        </w:rPr>
        <w:t xml:space="preserve"> the status or change</w:t>
      </w:r>
      <w:r>
        <w:rPr>
          <w:rFonts w:ascii="Times New Roman" w:eastAsia="宋体" w:hAnsi="Times New Roman" w:cs="Times New Roman"/>
          <w:b/>
          <w:bCs/>
          <w:kern w:val="0"/>
          <w:sz w:val="20"/>
          <w:szCs w:val="20"/>
        </w:rPr>
        <w:t>s</w:t>
      </w:r>
      <w:r w:rsidRPr="0002183F">
        <w:rPr>
          <w:rFonts w:ascii="Times New Roman" w:eastAsia="宋体" w:hAnsi="Times New Roman" w:cs="Times New Roman"/>
          <w:b/>
          <w:bCs/>
          <w:kern w:val="0"/>
          <w:sz w:val="20"/>
          <w:szCs w:val="20"/>
        </w:rPr>
        <w:t xml:space="preserve"> the status.</w:t>
      </w:r>
    </w:p>
    <w:p w14:paraId="110F7050" w14:textId="77777777" w:rsidR="00A54ACE" w:rsidRPr="002D414F" w:rsidRDefault="00A54ACE" w:rsidP="00A54ACE">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C16F07">
        <w:rPr>
          <w:rFonts w:ascii="Times New Roman" w:eastAsia="宋体" w:hAnsi="Times New Roman" w:cs="Times New Roman"/>
          <w:b/>
          <w:bCs/>
          <w:kern w:val="0"/>
          <w:sz w:val="20"/>
          <w:szCs w:val="20"/>
        </w:rPr>
        <w:t xml:space="preserve">Proposal </w:t>
      </w:r>
      <w:r>
        <w:rPr>
          <w:rFonts w:ascii="Times New Roman" w:eastAsia="宋体" w:hAnsi="Times New Roman" w:cs="Times New Roman"/>
          <w:b/>
          <w:bCs/>
          <w:kern w:val="0"/>
          <w:sz w:val="20"/>
          <w:szCs w:val="20"/>
        </w:rPr>
        <w:t>5</w:t>
      </w:r>
      <w:r w:rsidRPr="00C16F07">
        <w:rPr>
          <w:rFonts w:ascii="Times New Roman" w:eastAsia="宋体" w:hAnsi="Times New Roman" w:cs="Times New Roman"/>
          <w:b/>
          <w:bCs/>
          <w:kern w:val="0"/>
          <w:sz w:val="20"/>
          <w:szCs w:val="20"/>
        </w:rPr>
        <w:t xml:space="preserve">: </w:t>
      </w:r>
      <w:r w:rsidRPr="00F017C8">
        <w:rPr>
          <w:rFonts w:ascii="Times New Roman" w:eastAsia="宋体" w:hAnsi="Times New Roman" w:cs="Times New Roman"/>
          <w:b/>
          <w:bCs/>
          <w:kern w:val="0"/>
          <w:sz w:val="20"/>
          <w:szCs w:val="20"/>
        </w:rPr>
        <w:t>The served UE</w:t>
      </w:r>
      <w:r>
        <w:rPr>
          <w:rFonts w:ascii="Times New Roman" w:eastAsia="宋体" w:hAnsi="Times New Roman" w:cs="Times New Roman"/>
          <w:b/>
          <w:bCs/>
          <w:kern w:val="0"/>
          <w:sz w:val="20"/>
          <w:szCs w:val="20"/>
        </w:rPr>
        <w:t>s</w:t>
      </w:r>
      <w:r w:rsidRPr="00F017C8">
        <w:rPr>
          <w:rFonts w:ascii="Times New Roman" w:eastAsia="宋体" w:hAnsi="Times New Roman" w:cs="Times New Roman"/>
          <w:b/>
          <w:bCs/>
          <w:kern w:val="0"/>
          <w:sz w:val="20"/>
          <w:szCs w:val="20"/>
        </w:rPr>
        <w:t xml:space="preserve"> of mobile IAB-node may </w:t>
      </w:r>
      <w:r>
        <w:rPr>
          <w:rFonts w:ascii="Times New Roman" w:eastAsia="宋体" w:hAnsi="Times New Roman" w:cs="Times New Roman"/>
          <w:b/>
          <w:bCs/>
          <w:kern w:val="0"/>
          <w:sz w:val="20"/>
          <w:szCs w:val="20"/>
        </w:rPr>
        <w:t xml:space="preserve">keep </w:t>
      </w:r>
      <w:r w:rsidRPr="00C16F07">
        <w:rPr>
          <w:rFonts w:ascii="Times New Roman" w:eastAsia="宋体" w:hAnsi="Times New Roman" w:cs="Times New Roman"/>
          <w:b/>
          <w:bCs/>
          <w:kern w:val="0"/>
          <w:sz w:val="20"/>
          <w:szCs w:val="20"/>
        </w:rPr>
        <w:t>lower layer configurations (RLC, MAC and PHY)</w:t>
      </w:r>
      <w:r>
        <w:rPr>
          <w:rFonts w:ascii="Times New Roman" w:eastAsia="宋体" w:hAnsi="Times New Roman" w:cs="Times New Roman"/>
          <w:b/>
          <w:bCs/>
          <w:kern w:val="0"/>
          <w:sz w:val="20"/>
          <w:szCs w:val="20"/>
        </w:rPr>
        <w:t xml:space="preserve"> </w:t>
      </w:r>
      <w:r w:rsidRPr="00D95016">
        <w:rPr>
          <w:rFonts w:ascii="Times New Roman" w:eastAsia="宋体" w:hAnsi="Times New Roman" w:cs="Times New Roman"/>
          <w:b/>
          <w:bCs/>
          <w:kern w:val="0"/>
          <w:sz w:val="20"/>
          <w:szCs w:val="20"/>
        </w:rPr>
        <w:t>during inter-donor full migration</w:t>
      </w:r>
      <w:r>
        <w:rPr>
          <w:rFonts w:ascii="Times New Roman" w:eastAsia="宋体" w:hAnsi="Times New Roman" w:cs="Times New Roman"/>
          <w:b/>
          <w:bCs/>
          <w:kern w:val="0"/>
          <w:sz w:val="20"/>
          <w:szCs w:val="20"/>
        </w:rPr>
        <w:t xml:space="preserve"> or IAB-DU migration</w:t>
      </w:r>
      <w:r w:rsidRPr="00D95016">
        <w:rPr>
          <w:rFonts w:ascii="Times New Roman" w:eastAsia="宋体" w:hAnsi="Times New Roman" w:cs="Times New Roman"/>
          <w:b/>
          <w:bCs/>
          <w:kern w:val="0"/>
          <w:sz w:val="20"/>
          <w:szCs w:val="20"/>
        </w:rPr>
        <w:t xml:space="preserve"> together with the mobile IAB-node.</w:t>
      </w:r>
    </w:p>
    <w:p w14:paraId="2DDA7CF2" w14:textId="5E073244" w:rsidR="00F5677C" w:rsidRPr="009036A3" w:rsidRDefault="00F5677C" w:rsidP="00F5677C">
      <w:pPr>
        <w:pStyle w:val="af2"/>
        <w:spacing w:beforeLines="50" w:before="120" w:beforeAutospacing="0" w:after="120" w:afterAutospacing="0"/>
        <w:jc w:val="both"/>
        <w:rPr>
          <w:rFonts w:ascii="Times New Roman" w:hAnsi="Times New Roman" w:cs="Times New Roman"/>
          <w:b/>
          <w:bCs/>
          <w:sz w:val="20"/>
          <w:szCs w:val="20"/>
        </w:rPr>
      </w:pPr>
      <w:r>
        <w:rPr>
          <w:rFonts w:ascii="Times New Roman" w:hAnsi="Times New Roman" w:cs="Times New Roman"/>
          <w:b/>
          <w:bCs/>
          <w:sz w:val="20"/>
          <w:szCs w:val="20"/>
        </w:rPr>
        <w:t>Proposal 6: Mobile IAB-node includes a mobile IAB-indication in M</w:t>
      </w:r>
      <w:r w:rsidR="00C70120">
        <w:rPr>
          <w:rFonts w:ascii="Times New Roman" w:hAnsi="Times New Roman" w:cs="Times New Roman"/>
          <w:b/>
          <w:bCs/>
          <w:sz w:val="20"/>
          <w:szCs w:val="20"/>
        </w:rPr>
        <w:t>sg</w:t>
      </w:r>
      <w:r>
        <w:rPr>
          <w:rFonts w:ascii="Times New Roman" w:hAnsi="Times New Roman" w:cs="Times New Roman"/>
          <w:b/>
          <w:bCs/>
          <w:sz w:val="20"/>
          <w:szCs w:val="20"/>
        </w:rPr>
        <w:t>5.</w:t>
      </w:r>
    </w:p>
    <w:p w14:paraId="18547406" w14:textId="15EB5F5E" w:rsidR="00A54ACE" w:rsidRDefault="00A54ACE" w:rsidP="00A54ACE">
      <w:pPr>
        <w:pStyle w:val="af2"/>
        <w:spacing w:before="0" w:beforeAutospacing="0" w:after="120" w:afterAutospacing="0"/>
        <w:jc w:val="both"/>
        <w:rPr>
          <w:rFonts w:ascii="Times New Roman" w:hAnsi="Times New Roman" w:cs="Times New Roman"/>
          <w:b/>
          <w:bCs/>
          <w:sz w:val="20"/>
          <w:szCs w:val="20"/>
        </w:rPr>
      </w:pPr>
      <w:r w:rsidRPr="00AC00B6">
        <w:rPr>
          <w:rFonts w:ascii="Times New Roman" w:hAnsi="Times New Roman" w:cs="Times New Roman"/>
          <w:b/>
          <w:bCs/>
          <w:sz w:val="20"/>
          <w:szCs w:val="20"/>
        </w:rPr>
        <w:t xml:space="preserve">Proposal </w:t>
      </w:r>
      <w:r w:rsidR="00F5677C">
        <w:rPr>
          <w:rFonts w:ascii="Times New Roman" w:hAnsi="Times New Roman" w:cs="Times New Roman"/>
          <w:b/>
          <w:bCs/>
          <w:sz w:val="20"/>
          <w:szCs w:val="20"/>
        </w:rPr>
        <w:t>7</w:t>
      </w:r>
      <w:r w:rsidRPr="00AC00B6">
        <w:rPr>
          <w:rFonts w:ascii="Times New Roman" w:hAnsi="Times New Roman" w:cs="Times New Roman"/>
          <w:b/>
          <w:bCs/>
          <w:sz w:val="20"/>
          <w:szCs w:val="20"/>
        </w:rPr>
        <w:t xml:space="preserve">: </w:t>
      </w:r>
      <w:r>
        <w:rPr>
          <w:rFonts w:ascii="Times New Roman" w:hAnsi="Times New Roman" w:cs="Times New Roman"/>
          <w:b/>
          <w:bCs/>
          <w:sz w:val="20"/>
          <w:szCs w:val="20"/>
        </w:rPr>
        <w:t>S</w:t>
      </w:r>
      <w:r w:rsidRPr="00AC00B6">
        <w:rPr>
          <w:rFonts w:ascii="Times New Roman" w:hAnsi="Times New Roman" w:cs="Times New Roman"/>
          <w:b/>
          <w:bCs/>
          <w:sz w:val="20"/>
          <w:szCs w:val="20"/>
        </w:rPr>
        <w:t xml:space="preserve">ource </w:t>
      </w:r>
      <w:r>
        <w:rPr>
          <w:rFonts w:ascii="Times New Roman" w:hAnsi="Times New Roman" w:cs="Times New Roman"/>
          <w:b/>
          <w:bCs/>
          <w:sz w:val="20"/>
          <w:szCs w:val="20"/>
        </w:rPr>
        <w:t>IAB-donor-</w:t>
      </w:r>
      <w:r w:rsidRPr="00AC00B6">
        <w:rPr>
          <w:rFonts w:ascii="Times New Roman" w:hAnsi="Times New Roman" w:cs="Times New Roman"/>
          <w:b/>
          <w:bCs/>
          <w:sz w:val="20"/>
          <w:szCs w:val="20"/>
        </w:rPr>
        <w:t>CU of a</w:t>
      </w:r>
      <w:r>
        <w:rPr>
          <w:rFonts w:ascii="Times New Roman" w:hAnsi="Times New Roman" w:cs="Times New Roman"/>
          <w:b/>
          <w:bCs/>
          <w:sz w:val="20"/>
          <w:szCs w:val="20"/>
        </w:rPr>
        <w:t xml:space="preserve"> fixed</w:t>
      </w:r>
      <w:r w:rsidRPr="00AC00B6">
        <w:rPr>
          <w:rFonts w:ascii="Times New Roman" w:hAnsi="Times New Roman" w:cs="Times New Roman"/>
          <w:b/>
          <w:bCs/>
          <w:sz w:val="20"/>
          <w:szCs w:val="20"/>
        </w:rPr>
        <w:t xml:space="preserve"> IAB-node should </w:t>
      </w:r>
      <w:r>
        <w:rPr>
          <w:rFonts w:ascii="Times New Roman" w:hAnsi="Times New Roman" w:cs="Times New Roman"/>
          <w:b/>
          <w:bCs/>
          <w:sz w:val="20"/>
          <w:szCs w:val="20"/>
        </w:rPr>
        <w:t>be aware of</w:t>
      </w:r>
      <w:r w:rsidRPr="00AC00B6">
        <w:rPr>
          <w:rFonts w:ascii="Times New Roman" w:hAnsi="Times New Roman" w:cs="Times New Roman"/>
          <w:b/>
          <w:bCs/>
          <w:sz w:val="20"/>
          <w:szCs w:val="20"/>
        </w:rPr>
        <w:t xml:space="preserve"> whether the </w:t>
      </w:r>
      <w:r>
        <w:rPr>
          <w:rFonts w:ascii="Times New Roman" w:hAnsi="Times New Roman" w:cs="Times New Roman"/>
          <w:b/>
          <w:bCs/>
          <w:sz w:val="20"/>
          <w:szCs w:val="20"/>
        </w:rPr>
        <w:t xml:space="preserve">potential </w:t>
      </w:r>
      <w:r w:rsidRPr="00AC00B6">
        <w:rPr>
          <w:rFonts w:ascii="Times New Roman" w:hAnsi="Times New Roman" w:cs="Times New Roman" w:hint="eastAsia"/>
          <w:b/>
          <w:bCs/>
          <w:sz w:val="20"/>
          <w:szCs w:val="20"/>
        </w:rPr>
        <w:t>target cell belong</w:t>
      </w:r>
      <w:r>
        <w:rPr>
          <w:rFonts w:ascii="Times New Roman" w:hAnsi="Times New Roman" w:cs="Times New Roman"/>
          <w:b/>
          <w:bCs/>
          <w:sz w:val="20"/>
          <w:szCs w:val="20"/>
        </w:rPr>
        <w:t>s</w:t>
      </w:r>
      <w:r w:rsidRPr="00AC00B6">
        <w:rPr>
          <w:rFonts w:ascii="Times New Roman" w:hAnsi="Times New Roman" w:cs="Times New Roman" w:hint="eastAsia"/>
          <w:b/>
          <w:bCs/>
          <w:sz w:val="20"/>
          <w:szCs w:val="20"/>
        </w:rPr>
        <w:t xml:space="preserve"> to a mobile IAB-node</w:t>
      </w:r>
      <w:r w:rsidRPr="00AC00B6">
        <w:rPr>
          <w:rFonts w:ascii="Times New Roman" w:hAnsi="Times New Roman" w:cs="Times New Roman"/>
          <w:b/>
          <w:bCs/>
          <w:sz w:val="20"/>
          <w:szCs w:val="20"/>
        </w:rPr>
        <w:t>.</w:t>
      </w:r>
      <w:r>
        <w:rPr>
          <w:rFonts w:ascii="Times New Roman" w:hAnsi="Times New Roman" w:cs="Times New Roman"/>
          <w:b/>
          <w:bCs/>
          <w:sz w:val="20"/>
          <w:szCs w:val="20"/>
        </w:rPr>
        <w:t xml:space="preserve"> </w:t>
      </w:r>
    </w:p>
    <w:p w14:paraId="1C734CA1" w14:textId="77777777" w:rsidR="00AA3FAE" w:rsidRPr="00AA3FAE" w:rsidRDefault="00AA3FAE" w:rsidP="00AA3FAE">
      <w:pPr>
        <w:keepNext/>
        <w:keepLines/>
        <w:widowControl/>
        <w:pBdr>
          <w:top w:val="single" w:sz="12" w:space="3" w:color="auto"/>
        </w:pBdr>
        <w:overflowPunct w:val="0"/>
        <w:autoSpaceDE w:val="0"/>
        <w:autoSpaceDN w:val="0"/>
        <w:adjustRightInd w:val="0"/>
        <w:spacing w:before="240" w:after="180"/>
        <w:jc w:val="left"/>
        <w:textAlignment w:val="baseline"/>
        <w:outlineLvl w:val="0"/>
        <w:rPr>
          <w:rFonts w:ascii="Arial" w:eastAsia="Dotum" w:hAnsi="Arial" w:cs="Times New Roman"/>
          <w:kern w:val="0"/>
          <w:sz w:val="36"/>
          <w:szCs w:val="36"/>
          <w:lang w:val="en-GB"/>
        </w:rPr>
      </w:pPr>
      <w:r w:rsidRPr="00AA3FAE">
        <w:rPr>
          <w:rFonts w:ascii="Arial" w:eastAsia="Dotum" w:hAnsi="Arial" w:cs="Times New Roman"/>
          <w:kern w:val="0"/>
          <w:sz w:val="36"/>
          <w:szCs w:val="36"/>
          <w:lang w:val="en-GB"/>
        </w:rPr>
        <w:t>Reference</w:t>
      </w:r>
    </w:p>
    <w:bookmarkEnd w:id="0"/>
    <w:bookmarkEnd w:id="1"/>
    <w:p w14:paraId="3244BFD7" w14:textId="155EF38F" w:rsidR="00C07627" w:rsidRDefault="00C07627" w:rsidP="00C07627">
      <w:pPr>
        <w:widowControl/>
        <w:numPr>
          <w:ilvl w:val="0"/>
          <w:numId w:val="1"/>
        </w:numPr>
        <w:overflowPunct w:val="0"/>
        <w:autoSpaceDE w:val="0"/>
        <w:autoSpaceDN w:val="0"/>
        <w:adjustRightInd w:val="0"/>
        <w:spacing w:after="120" w:line="360" w:lineRule="auto"/>
        <w:ind w:left="420"/>
        <w:textAlignment w:val="baseline"/>
        <w:rPr>
          <w:rFonts w:ascii="Times New Roman" w:eastAsia="宋体" w:hAnsi="Times New Roman" w:cs="Times New Roman"/>
          <w:kern w:val="0"/>
          <w:sz w:val="20"/>
          <w:lang w:val="x-none"/>
        </w:rPr>
      </w:pPr>
      <w:r>
        <w:rPr>
          <w:rFonts w:ascii="Times New Roman" w:eastAsia="宋体" w:hAnsi="Times New Roman" w:cs="Times New Roman"/>
          <w:kern w:val="0"/>
          <w:sz w:val="20"/>
          <w:lang w:val="x-none"/>
        </w:rPr>
        <w:t xml:space="preserve">RP-222671. Revised WID for </w:t>
      </w:r>
      <w:proofErr w:type="spellStart"/>
      <w:r>
        <w:rPr>
          <w:rFonts w:ascii="Times New Roman" w:eastAsia="宋体" w:hAnsi="Times New Roman" w:cs="Times New Roman"/>
          <w:kern w:val="0"/>
          <w:sz w:val="20"/>
          <w:lang w:val="x-none"/>
        </w:rPr>
        <w:t>NR_mobile_IAB</w:t>
      </w:r>
      <w:proofErr w:type="spellEnd"/>
      <w:r>
        <w:rPr>
          <w:rFonts w:ascii="Times New Roman" w:eastAsia="宋体" w:hAnsi="Times New Roman" w:cs="Times New Roman"/>
          <w:kern w:val="0"/>
          <w:sz w:val="20"/>
          <w:lang w:val="x-none"/>
        </w:rPr>
        <w:t xml:space="preserve">. </w:t>
      </w:r>
    </w:p>
    <w:p w14:paraId="7E72C195" w14:textId="43DFC115" w:rsidR="003E0958" w:rsidRPr="00F838A4" w:rsidRDefault="009762FC" w:rsidP="00A60CDE">
      <w:pPr>
        <w:widowControl/>
        <w:numPr>
          <w:ilvl w:val="0"/>
          <w:numId w:val="1"/>
        </w:numPr>
        <w:overflowPunct w:val="0"/>
        <w:autoSpaceDE w:val="0"/>
        <w:autoSpaceDN w:val="0"/>
        <w:adjustRightInd w:val="0"/>
        <w:spacing w:after="120" w:line="360" w:lineRule="auto"/>
        <w:ind w:left="420"/>
        <w:textAlignment w:val="baseline"/>
        <w:rPr>
          <w:rFonts w:ascii="Times New Roman" w:eastAsia="宋体" w:hAnsi="Times New Roman" w:cs="Times New Roman"/>
          <w:kern w:val="0"/>
          <w:sz w:val="20"/>
          <w:lang w:val="x-none"/>
        </w:rPr>
      </w:pPr>
      <w:r>
        <w:rPr>
          <w:rFonts w:ascii="Times New Roman" w:eastAsia="宋体" w:hAnsi="Times New Roman" w:cs="Times New Roman" w:hint="eastAsia"/>
          <w:kern w:val="0"/>
          <w:sz w:val="20"/>
          <w:lang w:val="x-none"/>
        </w:rPr>
        <w:t>C</w:t>
      </w:r>
      <w:r>
        <w:rPr>
          <w:rFonts w:ascii="Times New Roman" w:eastAsia="宋体" w:hAnsi="Times New Roman" w:cs="Times New Roman"/>
          <w:kern w:val="0"/>
          <w:sz w:val="20"/>
          <w:lang w:val="x-none"/>
        </w:rPr>
        <w:t>hairman notes of RAN2 119</w:t>
      </w:r>
      <w:r w:rsidR="000B6282">
        <w:rPr>
          <w:rFonts w:ascii="Times New Roman" w:eastAsia="宋体" w:hAnsi="Times New Roman" w:cs="Times New Roman"/>
          <w:kern w:val="0"/>
          <w:sz w:val="20"/>
          <w:lang w:val="x-none"/>
        </w:rPr>
        <w:t>bis</w:t>
      </w:r>
      <w:r>
        <w:rPr>
          <w:rFonts w:ascii="Times New Roman" w:eastAsia="宋体" w:hAnsi="Times New Roman" w:cs="Times New Roman"/>
          <w:kern w:val="0"/>
          <w:sz w:val="20"/>
          <w:lang w:val="x-none"/>
        </w:rPr>
        <w:t>-e</w:t>
      </w:r>
      <w:r w:rsidR="00D03534">
        <w:rPr>
          <w:rFonts w:ascii="Times New Roman" w:eastAsia="宋体" w:hAnsi="Times New Roman" w:cs="Times New Roman"/>
          <w:kern w:val="0"/>
          <w:sz w:val="20"/>
          <w:lang w:val="x-none"/>
        </w:rPr>
        <w:t xml:space="preserve"> - 121</w:t>
      </w:r>
      <w:r>
        <w:rPr>
          <w:rFonts w:ascii="Times New Roman" w:eastAsia="宋体" w:hAnsi="Times New Roman" w:cs="Times New Roman"/>
          <w:kern w:val="0"/>
          <w:sz w:val="20"/>
          <w:lang w:val="x-none"/>
        </w:rPr>
        <w:t xml:space="preserve"> meeting</w:t>
      </w:r>
      <w:r w:rsidR="00D03534">
        <w:rPr>
          <w:rFonts w:ascii="Times New Roman" w:eastAsia="宋体" w:hAnsi="Times New Roman" w:cs="Times New Roman"/>
          <w:kern w:val="0"/>
          <w:sz w:val="20"/>
          <w:lang w:val="x-none"/>
        </w:rPr>
        <w:t>s</w:t>
      </w:r>
      <w:r>
        <w:rPr>
          <w:rFonts w:ascii="Times New Roman" w:eastAsia="宋体" w:hAnsi="Times New Roman" w:cs="Times New Roman"/>
          <w:kern w:val="0"/>
          <w:sz w:val="20"/>
          <w:lang w:val="x-none"/>
        </w:rPr>
        <w:t>.</w:t>
      </w:r>
    </w:p>
    <w:sectPr w:rsidR="003E0958" w:rsidRPr="00F838A4" w:rsidSect="0085683C">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52EFA2" w14:textId="77777777" w:rsidR="00693D99" w:rsidRDefault="00693D99" w:rsidP="00AA3FAE">
      <w:r>
        <w:separator/>
      </w:r>
    </w:p>
  </w:endnote>
  <w:endnote w:type="continuationSeparator" w:id="0">
    <w:p w14:paraId="50A3748E" w14:textId="77777777" w:rsidR="00693D99" w:rsidRDefault="00693D99" w:rsidP="00AA3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Dotum">
    <w:altName w:val="Dotum"/>
    <w:panose1 w:val="020B0600000101010101"/>
    <w:charset w:val="81"/>
    <w:family w:val="swiss"/>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11677" w14:textId="77777777" w:rsidR="00B41AA4" w:rsidRDefault="00FF2385">
    <w:pPr>
      <w:pStyle w:val="a5"/>
      <w:tabs>
        <w:tab w:val="center" w:pos="4820"/>
        <w:tab w:val="right" w:pos="9639"/>
      </w:tabs>
    </w:pPr>
    <w:r>
      <w:tab/>
    </w:r>
    <w:r>
      <w:rPr>
        <w:rStyle w:val="a7"/>
      </w:rPr>
      <w:fldChar w:fldCharType="begin"/>
    </w:r>
    <w:r>
      <w:rPr>
        <w:rStyle w:val="a7"/>
      </w:rPr>
      <w:instrText xml:space="preserve"> PAGE </w:instrText>
    </w:r>
    <w:r>
      <w:rPr>
        <w:rStyle w:val="a7"/>
      </w:rPr>
      <w:fldChar w:fldCharType="separate"/>
    </w:r>
    <w:r>
      <w:rPr>
        <w:rStyle w:val="a7"/>
      </w:rPr>
      <w:t>3</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rPr>
      <w:t>4</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F83C47" w14:textId="77777777" w:rsidR="00693D99" w:rsidRDefault="00693D99" w:rsidP="00AA3FAE">
      <w:r>
        <w:separator/>
      </w:r>
    </w:p>
  </w:footnote>
  <w:footnote w:type="continuationSeparator" w:id="0">
    <w:p w14:paraId="678850D9" w14:textId="77777777" w:rsidR="00693D99" w:rsidRDefault="00693D99" w:rsidP="00AA3F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24677" w14:textId="77777777" w:rsidR="00B41AA4" w:rsidRDefault="00FF2385"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217E5"/>
    <w:multiLevelType w:val="hybridMultilevel"/>
    <w:tmpl w:val="AEFEBB4E"/>
    <w:lvl w:ilvl="0" w:tplc="0FE2991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784D9D"/>
    <w:multiLevelType w:val="hybridMultilevel"/>
    <w:tmpl w:val="40D0D1F4"/>
    <w:lvl w:ilvl="0" w:tplc="94DC551A">
      <w:numFmt w:val="bullet"/>
      <w:lvlText w:val=""/>
      <w:lvlJc w:val="left"/>
      <w:pPr>
        <w:ind w:left="360" w:hanging="360"/>
      </w:pPr>
      <w:rPr>
        <w:rFonts w:ascii="Wingdings" w:eastAsia="宋体" w:hAnsi="Wingdings" w:cs="Times New Roman" w:hint="default"/>
        <w:b/>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C54191B"/>
    <w:multiLevelType w:val="hybridMultilevel"/>
    <w:tmpl w:val="CFFEDC18"/>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2882AE4"/>
    <w:multiLevelType w:val="hybridMultilevel"/>
    <w:tmpl w:val="FFB4620A"/>
    <w:lvl w:ilvl="0" w:tplc="B38811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39C737C"/>
    <w:multiLevelType w:val="hybridMultilevel"/>
    <w:tmpl w:val="37923F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C77086"/>
    <w:multiLevelType w:val="multilevel"/>
    <w:tmpl w:val="13C77086"/>
    <w:lvl w:ilvl="0">
      <w:start w:val="1"/>
      <w:numFmt w:val="bullet"/>
      <w:lvlText w:val="‐"/>
      <w:lvlJc w:val="left"/>
      <w:pPr>
        <w:ind w:left="420" w:hanging="420"/>
      </w:pPr>
      <w:rPr>
        <w:rFonts w:ascii="Arial Black" w:eastAsia="Arial Black" w:hAnsi="Arial Black" w:hint="eastAsia"/>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6F449F6"/>
    <w:multiLevelType w:val="hybridMultilevel"/>
    <w:tmpl w:val="45E279C4"/>
    <w:lvl w:ilvl="0" w:tplc="08090001">
      <w:start w:val="1"/>
      <w:numFmt w:val="bullet"/>
      <w:lvlText w:val=""/>
      <w:lvlJc w:val="left"/>
      <w:pPr>
        <w:ind w:left="840" w:hanging="420"/>
      </w:pPr>
      <w:rPr>
        <w:rFonts w:ascii="Symbol" w:hAnsi="Symbol" w:hint="default"/>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8AB5369"/>
    <w:multiLevelType w:val="hybridMultilevel"/>
    <w:tmpl w:val="C8AADF34"/>
    <w:lvl w:ilvl="0" w:tplc="817603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A287E82"/>
    <w:multiLevelType w:val="hybridMultilevel"/>
    <w:tmpl w:val="3312C49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10" w15:restartNumberingAfterBreak="0">
    <w:nsid w:val="39CB50B8"/>
    <w:multiLevelType w:val="hybridMultilevel"/>
    <w:tmpl w:val="F1CCA4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8856923"/>
    <w:multiLevelType w:val="hybridMultilevel"/>
    <w:tmpl w:val="71BA76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0A26513"/>
    <w:multiLevelType w:val="hybridMultilevel"/>
    <w:tmpl w:val="CD90B980"/>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5A06A15"/>
    <w:multiLevelType w:val="hybridMultilevel"/>
    <w:tmpl w:val="0324F0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D354A5E"/>
    <w:multiLevelType w:val="hybridMultilevel"/>
    <w:tmpl w:val="8806D4AE"/>
    <w:lvl w:ilvl="0" w:tplc="0FE2991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896"/>
        </w:tabs>
        <w:ind w:left="-896" w:hanging="360"/>
      </w:pPr>
      <w:rPr>
        <w:rFonts w:ascii="Symbol" w:hAnsi="Symbol" w:hint="default"/>
        <w:b/>
        <w:i w:val="0"/>
        <w:color w:val="auto"/>
        <w:sz w:val="22"/>
      </w:rPr>
    </w:lvl>
    <w:lvl w:ilvl="1" w:tplc="04090003">
      <w:start w:val="1"/>
      <w:numFmt w:val="bullet"/>
      <w:lvlText w:val="o"/>
      <w:lvlJc w:val="left"/>
      <w:pPr>
        <w:tabs>
          <w:tab w:val="num" w:pos="-1075"/>
        </w:tabs>
        <w:ind w:left="-1075" w:hanging="360"/>
      </w:pPr>
      <w:rPr>
        <w:rFonts w:ascii="Courier New" w:hAnsi="Courier New" w:cs="Courier New" w:hint="default"/>
      </w:rPr>
    </w:lvl>
    <w:lvl w:ilvl="2" w:tplc="04090005" w:tentative="1">
      <w:start w:val="1"/>
      <w:numFmt w:val="bullet"/>
      <w:lvlText w:val=""/>
      <w:lvlJc w:val="left"/>
      <w:pPr>
        <w:tabs>
          <w:tab w:val="num" w:pos="-355"/>
        </w:tabs>
        <w:ind w:left="-355" w:hanging="360"/>
      </w:pPr>
      <w:rPr>
        <w:rFonts w:ascii="Wingdings" w:hAnsi="Wingdings" w:hint="default"/>
      </w:rPr>
    </w:lvl>
    <w:lvl w:ilvl="3" w:tplc="04090001" w:tentative="1">
      <w:start w:val="1"/>
      <w:numFmt w:val="bullet"/>
      <w:lvlText w:val=""/>
      <w:lvlJc w:val="left"/>
      <w:pPr>
        <w:tabs>
          <w:tab w:val="num" w:pos="365"/>
        </w:tabs>
        <w:ind w:left="365" w:hanging="360"/>
      </w:pPr>
      <w:rPr>
        <w:rFonts w:ascii="Symbol" w:hAnsi="Symbol" w:hint="default"/>
      </w:rPr>
    </w:lvl>
    <w:lvl w:ilvl="4" w:tplc="04090003" w:tentative="1">
      <w:start w:val="1"/>
      <w:numFmt w:val="bullet"/>
      <w:lvlText w:val="o"/>
      <w:lvlJc w:val="left"/>
      <w:pPr>
        <w:tabs>
          <w:tab w:val="num" w:pos="1085"/>
        </w:tabs>
        <w:ind w:left="1085" w:hanging="360"/>
      </w:pPr>
      <w:rPr>
        <w:rFonts w:ascii="Courier New" w:hAnsi="Courier New" w:cs="Courier New" w:hint="default"/>
      </w:rPr>
    </w:lvl>
    <w:lvl w:ilvl="5" w:tplc="04090005" w:tentative="1">
      <w:start w:val="1"/>
      <w:numFmt w:val="bullet"/>
      <w:lvlText w:val=""/>
      <w:lvlJc w:val="left"/>
      <w:pPr>
        <w:tabs>
          <w:tab w:val="num" w:pos="1805"/>
        </w:tabs>
        <w:ind w:left="1805" w:hanging="360"/>
      </w:pPr>
      <w:rPr>
        <w:rFonts w:ascii="Wingdings" w:hAnsi="Wingdings" w:hint="default"/>
      </w:rPr>
    </w:lvl>
    <w:lvl w:ilvl="6" w:tplc="04090001" w:tentative="1">
      <w:start w:val="1"/>
      <w:numFmt w:val="bullet"/>
      <w:lvlText w:val=""/>
      <w:lvlJc w:val="left"/>
      <w:pPr>
        <w:tabs>
          <w:tab w:val="num" w:pos="2525"/>
        </w:tabs>
        <w:ind w:left="2525" w:hanging="360"/>
      </w:pPr>
      <w:rPr>
        <w:rFonts w:ascii="Symbol" w:hAnsi="Symbol" w:hint="default"/>
      </w:rPr>
    </w:lvl>
    <w:lvl w:ilvl="7" w:tplc="04090003" w:tentative="1">
      <w:start w:val="1"/>
      <w:numFmt w:val="bullet"/>
      <w:lvlText w:val="o"/>
      <w:lvlJc w:val="left"/>
      <w:pPr>
        <w:tabs>
          <w:tab w:val="num" w:pos="3245"/>
        </w:tabs>
        <w:ind w:left="3245" w:hanging="360"/>
      </w:pPr>
      <w:rPr>
        <w:rFonts w:ascii="Courier New" w:hAnsi="Courier New" w:cs="Courier New" w:hint="default"/>
      </w:rPr>
    </w:lvl>
    <w:lvl w:ilvl="8" w:tplc="04090005" w:tentative="1">
      <w:start w:val="1"/>
      <w:numFmt w:val="bullet"/>
      <w:lvlText w:val=""/>
      <w:lvlJc w:val="left"/>
      <w:pPr>
        <w:tabs>
          <w:tab w:val="num" w:pos="3965"/>
        </w:tabs>
        <w:ind w:left="3965" w:hanging="360"/>
      </w:pPr>
      <w:rPr>
        <w:rFonts w:ascii="Wingdings" w:hAnsi="Wingdings" w:hint="default"/>
      </w:rPr>
    </w:lvl>
  </w:abstractNum>
  <w:num w:numId="1" w16cid:durableId="627008234">
    <w:abstractNumId w:val="9"/>
  </w:num>
  <w:num w:numId="2" w16cid:durableId="1909487870">
    <w:abstractNumId w:val="4"/>
  </w:num>
  <w:num w:numId="3" w16cid:durableId="1776706110">
    <w:abstractNumId w:val="2"/>
  </w:num>
  <w:num w:numId="4" w16cid:durableId="1063452926">
    <w:abstractNumId w:val="12"/>
  </w:num>
  <w:num w:numId="5" w16cid:durableId="159590811">
    <w:abstractNumId w:val="7"/>
  </w:num>
  <w:num w:numId="6" w16cid:durableId="549340024">
    <w:abstractNumId w:val="16"/>
  </w:num>
  <w:num w:numId="7" w16cid:durableId="1533570270">
    <w:abstractNumId w:val="14"/>
  </w:num>
  <w:num w:numId="8" w16cid:durableId="1911619972">
    <w:abstractNumId w:val="8"/>
  </w:num>
  <w:num w:numId="9" w16cid:durableId="512300356">
    <w:abstractNumId w:val="0"/>
  </w:num>
  <w:num w:numId="10" w16cid:durableId="1436093840">
    <w:abstractNumId w:val="5"/>
  </w:num>
  <w:num w:numId="11" w16cid:durableId="1271814385">
    <w:abstractNumId w:val="10"/>
  </w:num>
  <w:num w:numId="12" w16cid:durableId="873419911">
    <w:abstractNumId w:val="15"/>
  </w:num>
  <w:num w:numId="13" w16cid:durableId="1328247834">
    <w:abstractNumId w:val="11"/>
  </w:num>
  <w:num w:numId="14" w16cid:durableId="1523712847">
    <w:abstractNumId w:val="6"/>
  </w:num>
  <w:num w:numId="15" w16cid:durableId="1543975560">
    <w:abstractNumId w:val="1"/>
  </w:num>
  <w:num w:numId="16" w16cid:durableId="881865232">
    <w:abstractNumId w:val="13"/>
  </w:num>
  <w:num w:numId="17" w16cid:durableId="630402364">
    <w:abstractNumId w:val="3"/>
  </w:num>
  <w:num w:numId="18" w16cid:durableId="1185556464">
    <w:abstractNumId w:val="16"/>
  </w:num>
  <w:num w:numId="19" w16cid:durableId="343751357">
    <w:abstractNumId w:val="16"/>
  </w:num>
  <w:num w:numId="20" w16cid:durableId="102965749">
    <w:abstractNumId w:val="16"/>
  </w:num>
  <w:num w:numId="21" w16cid:durableId="94931860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F7E"/>
    <w:rsid w:val="00000419"/>
    <w:rsid w:val="00004B28"/>
    <w:rsid w:val="00006633"/>
    <w:rsid w:val="0000703A"/>
    <w:rsid w:val="000078D6"/>
    <w:rsid w:val="000201E2"/>
    <w:rsid w:val="0002183F"/>
    <w:rsid w:val="000240AC"/>
    <w:rsid w:val="000277D7"/>
    <w:rsid w:val="00027CBB"/>
    <w:rsid w:val="00033584"/>
    <w:rsid w:val="00036BFD"/>
    <w:rsid w:val="00036C32"/>
    <w:rsid w:val="00036D3D"/>
    <w:rsid w:val="00037738"/>
    <w:rsid w:val="00037A2D"/>
    <w:rsid w:val="0004320E"/>
    <w:rsid w:val="00043B7B"/>
    <w:rsid w:val="00047545"/>
    <w:rsid w:val="000502FD"/>
    <w:rsid w:val="000505CB"/>
    <w:rsid w:val="00055D15"/>
    <w:rsid w:val="000566E1"/>
    <w:rsid w:val="00060A16"/>
    <w:rsid w:val="00062DAA"/>
    <w:rsid w:val="00064FA3"/>
    <w:rsid w:val="00067299"/>
    <w:rsid w:val="000676A1"/>
    <w:rsid w:val="0007088F"/>
    <w:rsid w:val="000723BB"/>
    <w:rsid w:val="00072574"/>
    <w:rsid w:val="000752E1"/>
    <w:rsid w:val="00080CC2"/>
    <w:rsid w:val="00082EC4"/>
    <w:rsid w:val="0008663F"/>
    <w:rsid w:val="00093EF1"/>
    <w:rsid w:val="000978FD"/>
    <w:rsid w:val="000A1873"/>
    <w:rsid w:val="000A4883"/>
    <w:rsid w:val="000B09C9"/>
    <w:rsid w:val="000B161E"/>
    <w:rsid w:val="000B1938"/>
    <w:rsid w:val="000B1D18"/>
    <w:rsid w:val="000B2144"/>
    <w:rsid w:val="000B6282"/>
    <w:rsid w:val="000B6690"/>
    <w:rsid w:val="000C008E"/>
    <w:rsid w:val="000C0937"/>
    <w:rsid w:val="000C19A3"/>
    <w:rsid w:val="000C2AA4"/>
    <w:rsid w:val="000D18C1"/>
    <w:rsid w:val="000D2B2B"/>
    <w:rsid w:val="000D4E54"/>
    <w:rsid w:val="000E15E2"/>
    <w:rsid w:val="000E443D"/>
    <w:rsid w:val="000E5A48"/>
    <w:rsid w:val="000E6C5A"/>
    <w:rsid w:val="000E7279"/>
    <w:rsid w:val="000F40EC"/>
    <w:rsid w:val="0010503F"/>
    <w:rsid w:val="001119CE"/>
    <w:rsid w:val="00111B28"/>
    <w:rsid w:val="00114A1F"/>
    <w:rsid w:val="001229AC"/>
    <w:rsid w:val="00126DEE"/>
    <w:rsid w:val="00127B59"/>
    <w:rsid w:val="001305AC"/>
    <w:rsid w:val="00131641"/>
    <w:rsid w:val="001322B8"/>
    <w:rsid w:val="00132B08"/>
    <w:rsid w:val="00134957"/>
    <w:rsid w:val="00135BED"/>
    <w:rsid w:val="00135C3C"/>
    <w:rsid w:val="00141555"/>
    <w:rsid w:val="00144C24"/>
    <w:rsid w:val="00152D85"/>
    <w:rsid w:val="001556FC"/>
    <w:rsid w:val="00157E02"/>
    <w:rsid w:val="0016588F"/>
    <w:rsid w:val="00166E1C"/>
    <w:rsid w:val="00175A07"/>
    <w:rsid w:val="00180496"/>
    <w:rsid w:val="001826EA"/>
    <w:rsid w:val="00185A91"/>
    <w:rsid w:val="00190A87"/>
    <w:rsid w:val="00190FAF"/>
    <w:rsid w:val="00191ACA"/>
    <w:rsid w:val="001A2383"/>
    <w:rsid w:val="001A34F9"/>
    <w:rsid w:val="001A4DB9"/>
    <w:rsid w:val="001A7350"/>
    <w:rsid w:val="001B1D5F"/>
    <w:rsid w:val="001B2FA1"/>
    <w:rsid w:val="001B361E"/>
    <w:rsid w:val="001B4767"/>
    <w:rsid w:val="001B7E53"/>
    <w:rsid w:val="001C1DAB"/>
    <w:rsid w:val="001C1DCC"/>
    <w:rsid w:val="001C473D"/>
    <w:rsid w:val="001D012F"/>
    <w:rsid w:val="001D3376"/>
    <w:rsid w:val="001D59CE"/>
    <w:rsid w:val="001D5F73"/>
    <w:rsid w:val="001D69F7"/>
    <w:rsid w:val="001D70B0"/>
    <w:rsid w:val="001F0BEA"/>
    <w:rsid w:val="001F1421"/>
    <w:rsid w:val="00204BF0"/>
    <w:rsid w:val="00212BCD"/>
    <w:rsid w:val="00212DB4"/>
    <w:rsid w:val="002136B8"/>
    <w:rsid w:val="002144CD"/>
    <w:rsid w:val="002145FF"/>
    <w:rsid w:val="00220099"/>
    <w:rsid w:val="002222FA"/>
    <w:rsid w:val="0023239F"/>
    <w:rsid w:val="002340BA"/>
    <w:rsid w:val="00234C75"/>
    <w:rsid w:val="00236C71"/>
    <w:rsid w:val="00237A12"/>
    <w:rsid w:val="002428E4"/>
    <w:rsid w:val="0024433A"/>
    <w:rsid w:val="00245E3F"/>
    <w:rsid w:val="002500C6"/>
    <w:rsid w:val="00252749"/>
    <w:rsid w:val="00253AF0"/>
    <w:rsid w:val="002551E1"/>
    <w:rsid w:val="00256265"/>
    <w:rsid w:val="00256FA7"/>
    <w:rsid w:val="00267070"/>
    <w:rsid w:val="00273494"/>
    <w:rsid w:val="002750D3"/>
    <w:rsid w:val="00276074"/>
    <w:rsid w:val="00276F97"/>
    <w:rsid w:val="00280554"/>
    <w:rsid w:val="00290072"/>
    <w:rsid w:val="002911AD"/>
    <w:rsid w:val="00296038"/>
    <w:rsid w:val="002A2C8B"/>
    <w:rsid w:val="002A52AF"/>
    <w:rsid w:val="002B0EC9"/>
    <w:rsid w:val="002B110B"/>
    <w:rsid w:val="002B2A17"/>
    <w:rsid w:val="002B32DD"/>
    <w:rsid w:val="002C1AD2"/>
    <w:rsid w:val="002C3897"/>
    <w:rsid w:val="002D414F"/>
    <w:rsid w:val="002D4547"/>
    <w:rsid w:val="002D4BCF"/>
    <w:rsid w:val="002D4E9D"/>
    <w:rsid w:val="002D6B36"/>
    <w:rsid w:val="002E61C9"/>
    <w:rsid w:val="002E6200"/>
    <w:rsid w:val="002E692B"/>
    <w:rsid w:val="002E6AB3"/>
    <w:rsid w:val="002E7223"/>
    <w:rsid w:val="002F4BF9"/>
    <w:rsid w:val="002F5ADB"/>
    <w:rsid w:val="002F760C"/>
    <w:rsid w:val="002F7DD1"/>
    <w:rsid w:val="0030141D"/>
    <w:rsid w:val="00302732"/>
    <w:rsid w:val="00304AB3"/>
    <w:rsid w:val="0030768E"/>
    <w:rsid w:val="00311F6E"/>
    <w:rsid w:val="003179AD"/>
    <w:rsid w:val="00317D40"/>
    <w:rsid w:val="00320179"/>
    <w:rsid w:val="00320565"/>
    <w:rsid w:val="00321461"/>
    <w:rsid w:val="0032189B"/>
    <w:rsid w:val="003235A4"/>
    <w:rsid w:val="00327596"/>
    <w:rsid w:val="00330B37"/>
    <w:rsid w:val="00334DB1"/>
    <w:rsid w:val="00335AB1"/>
    <w:rsid w:val="00341CB7"/>
    <w:rsid w:val="00342086"/>
    <w:rsid w:val="00343CCD"/>
    <w:rsid w:val="00350C12"/>
    <w:rsid w:val="003516DE"/>
    <w:rsid w:val="00361C16"/>
    <w:rsid w:val="00365B8F"/>
    <w:rsid w:val="003679C3"/>
    <w:rsid w:val="00372A8A"/>
    <w:rsid w:val="003731AF"/>
    <w:rsid w:val="0037446F"/>
    <w:rsid w:val="003752E3"/>
    <w:rsid w:val="00375C4E"/>
    <w:rsid w:val="00380000"/>
    <w:rsid w:val="00384228"/>
    <w:rsid w:val="00387B6B"/>
    <w:rsid w:val="00390E2E"/>
    <w:rsid w:val="00390E73"/>
    <w:rsid w:val="00390FB4"/>
    <w:rsid w:val="00392D92"/>
    <w:rsid w:val="00392F22"/>
    <w:rsid w:val="00394045"/>
    <w:rsid w:val="00394A0E"/>
    <w:rsid w:val="003953EC"/>
    <w:rsid w:val="00396E48"/>
    <w:rsid w:val="003A0B1A"/>
    <w:rsid w:val="003A4A2A"/>
    <w:rsid w:val="003A5735"/>
    <w:rsid w:val="003B0384"/>
    <w:rsid w:val="003B6F2C"/>
    <w:rsid w:val="003B6F44"/>
    <w:rsid w:val="003B717D"/>
    <w:rsid w:val="003B751D"/>
    <w:rsid w:val="003B789C"/>
    <w:rsid w:val="003C2950"/>
    <w:rsid w:val="003C5399"/>
    <w:rsid w:val="003D1A4E"/>
    <w:rsid w:val="003D369B"/>
    <w:rsid w:val="003D3860"/>
    <w:rsid w:val="003D3CD3"/>
    <w:rsid w:val="003D4A95"/>
    <w:rsid w:val="003E0958"/>
    <w:rsid w:val="003E1D22"/>
    <w:rsid w:val="003E3846"/>
    <w:rsid w:val="003F3AFD"/>
    <w:rsid w:val="003F56FA"/>
    <w:rsid w:val="003F66B4"/>
    <w:rsid w:val="003F6ABF"/>
    <w:rsid w:val="0040415F"/>
    <w:rsid w:val="00404AE4"/>
    <w:rsid w:val="00406254"/>
    <w:rsid w:val="00412763"/>
    <w:rsid w:val="004136AB"/>
    <w:rsid w:val="00413FAB"/>
    <w:rsid w:val="00414D11"/>
    <w:rsid w:val="00415AD8"/>
    <w:rsid w:val="00415B4C"/>
    <w:rsid w:val="00415D56"/>
    <w:rsid w:val="0042361B"/>
    <w:rsid w:val="004246D2"/>
    <w:rsid w:val="0042475F"/>
    <w:rsid w:val="00427CB3"/>
    <w:rsid w:val="004307A0"/>
    <w:rsid w:val="00430C1C"/>
    <w:rsid w:val="00436934"/>
    <w:rsid w:val="0043723B"/>
    <w:rsid w:val="00443070"/>
    <w:rsid w:val="0044584A"/>
    <w:rsid w:val="004477D6"/>
    <w:rsid w:val="00450E17"/>
    <w:rsid w:val="00450E5B"/>
    <w:rsid w:val="0045226C"/>
    <w:rsid w:val="00452823"/>
    <w:rsid w:val="00456853"/>
    <w:rsid w:val="00457055"/>
    <w:rsid w:val="00463114"/>
    <w:rsid w:val="0046367F"/>
    <w:rsid w:val="00466B81"/>
    <w:rsid w:val="00471709"/>
    <w:rsid w:val="00471AD9"/>
    <w:rsid w:val="0047389C"/>
    <w:rsid w:val="00475801"/>
    <w:rsid w:val="004774BA"/>
    <w:rsid w:val="00480000"/>
    <w:rsid w:val="00486B2C"/>
    <w:rsid w:val="004927F4"/>
    <w:rsid w:val="00494DF4"/>
    <w:rsid w:val="00496030"/>
    <w:rsid w:val="004A0C67"/>
    <w:rsid w:val="004A1AEA"/>
    <w:rsid w:val="004A25BE"/>
    <w:rsid w:val="004A42BB"/>
    <w:rsid w:val="004A5C45"/>
    <w:rsid w:val="004B3E3C"/>
    <w:rsid w:val="004B6023"/>
    <w:rsid w:val="004C60BA"/>
    <w:rsid w:val="004C735E"/>
    <w:rsid w:val="004D32F2"/>
    <w:rsid w:val="004D4385"/>
    <w:rsid w:val="004D606F"/>
    <w:rsid w:val="004D62D5"/>
    <w:rsid w:val="004E3A43"/>
    <w:rsid w:val="004E4425"/>
    <w:rsid w:val="004E4591"/>
    <w:rsid w:val="004F61DC"/>
    <w:rsid w:val="005007D4"/>
    <w:rsid w:val="00502B78"/>
    <w:rsid w:val="005039F0"/>
    <w:rsid w:val="00512FC9"/>
    <w:rsid w:val="00513AA1"/>
    <w:rsid w:val="0051628D"/>
    <w:rsid w:val="0051755B"/>
    <w:rsid w:val="0052004E"/>
    <w:rsid w:val="00520A23"/>
    <w:rsid w:val="0052635C"/>
    <w:rsid w:val="00530A86"/>
    <w:rsid w:val="00531B04"/>
    <w:rsid w:val="00536A3C"/>
    <w:rsid w:val="00542B46"/>
    <w:rsid w:val="00544DED"/>
    <w:rsid w:val="00551CC7"/>
    <w:rsid w:val="00552A2B"/>
    <w:rsid w:val="00555FA0"/>
    <w:rsid w:val="00561831"/>
    <w:rsid w:val="00563788"/>
    <w:rsid w:val="00564234"/>
    <w:rsid w:val="005649E8"/>
    <w:rsid w:val="0057053B"/>
    <w:rsid w:val="00575725"/>
    <w:rsid w:val="00576785"/>
    <w:rsid w:val="00576915"/>
    <w:rsid w:val="00581A65"/>
    <w:rsid w:val="00581CF8"/>
    <w:rsid w:val="00585B50"/>
    <w:rsid w:val="00592A23"/>
    <w:rsid w:val="005948A9"/>
    <w:rsid w:val="005955C1"/>
    <w:rsid w:val="00595FB1"/>
    <w:rsid w:val="005963F4"/>
    <w:rsid w:val="005A09F0"/>
    <w:rsid w:val="005A382F"/>
    <w:rsid w:val="005A3D99"/>
    <w:rsid w:val="005A3F3D"/>
    <w:rsid w:val="005A5B85"/>
    <w:rsid w:val="005A69FF"/>
    <w:rsid w:val="005B2E70"/>
    <w:rsid w:val="005B486E"/>
    <w:rsid w:val="005B5C3C"/>
    <w:rsid w:val="005B7C38"/>
    <w:rsid w:val="005C2CC5"/>
    <w:rsid w:val="005C3F0F"/>
    <w:rsid w:val="005C4076"/>
    <w:rsid w:val="005C506E"/>
    <w:rsid w:val="005C5C02"/>
    <w:rsid w:val="005D0B2C"/>
    <w:rsid w:val="005D0E78"/>
    <w:rsid w:val="005D4401"/>
    <w:rsid w:val="005D4C79"/>
    <w:rsid w:val="005D7561"/>
    <w:rsid w:val="005E13D4"/>
    <w:rsid w:val="005E2E23"/>
    <w:rsid w:val="005E3163"/>
    <w:rsid w:val="005E6FC3"/>
    <w:rsid w:val="005F5AC9"/>
    <w:rsid w:val="00600785"/>
    <w:rsid w:val="006014DF"/>
    <w:rsid w:val="00603256"/>
    <w:rsid w:val="0060363E"/>
    <w:rsid w:val="006125F9"/>
    <w:rsid w:val="00616F03"/>
    <w:rsid w:val="00617F75"/>
    <w:rsid w:val="00621AA7"/>
    <w:rsid w:val="0063053E"/>
    <w:rsid w:val="00632A49"/>
    <w:rsid w:val="0063482D"/>
    <w:rsid w:val="00637F05"/>
    <w:rsid w:val="00640255"/>
    <w:rsid w:val="006469D6"/>
    <w:rsid w:val="00650A3D"/>
    <w:rsid w:val="00653BB4"/>
    <w:rsid w:val="006571A2"/>
    <w:rsid w:val="00657ABB"/>
    <w:rsid w:val="00657FF9"/>
    <w:rsid w:val="00664B31"/>
    <w:rsid w:val="00666EA1"/>
    <w:rsid w:val="0066723C"/>
    <w:rsid w:val="00671523"/>
    <w:rsid w:val="00672C28"/>
    <w:rsid w:val="00673EB7"/>
    <w:rsid w:val="00674294"/>
    <w:rsid w:val="006800AE"/>
    <w:rsid w:val="006812B2"/>
    <w:rsid w:val="006844A4"/>
    <w:rsid w:val="00684A23"/>
    <w:rsid w:val="0069000C"/>
    <w:rsid w:val="00692D0D"/>
    <w:rsid w:val="006931BD"/>
    <w:rsid w:val="00693D99"/>
    <w:rsid w:val="00696D8E"/>
    <w:rsid w:val="0069713B"/>
    <w:rsid w:val="00697690"/>
    <w:rsid w:val="006A0A85"/>
    <w:rsid w:val="006A1B51"/>
    <w:rsid w:val="006A22C3"/>
    <w:rsid w:val="006A7B11"/>
    <w:rsid w:val="006B2408"/>
    <w:rsid w:val="006B763F"/>
    <w:rsid w:val="006B7D13"/>
    <w:rsid w:val="006C17A2"/>
    <w:rsid w:val="006C1F5B"/>
    <w:rsid w:val="006C6E1A"/>
    <w:rsid w:val="006D3A5E"/>
    <w:rsid w:val="006D463C"/>
    <w:rsid w:val="006D4F64"/>
    <w:rsid w:val="006D51EF"/>
    <w:rsid w:val="006D62EA"/>
    <w:rsid w:val="006D662F"/>
    <w:rsid w:val="006D6EE7"/>
    <w:rsid w:val="006E7CED"/>
    <w:rsid w:val="006E7F53"/>
    <w:rsid w:val="006F009A"/>
    <w:rsid w:val="006F0E48"/>
    <w:rsid w:val="006F3309"/>
    <w:rsid w:val="006F3844"/>
    <w:rsid w:val="006F5211"/>
    <w:rsid w:val="006F718A"/>
    <w:rsid w:val="006F7948"/>
    <w:rsid w:val="006F7A32"/>
    <w:rsid w:val="00701C8C"/>
    <w:rsid w:val="007025DD"/>
    <w:rsid w:val="00703BAA"/>
    <w:rsid w:val="00704F12"/>
    <w:rsid w:val="00707153"/>
    <w:rsid w:val="00707369"/>
    <w:rsid w:val="00711D23"/>
    <w:rsid w:val="00712DD9"/>
    <w:rsid w:val="00714F93"/>
    <w:rsid w:val="007158E6"/>
    <w:rsid w:val="00724078"/>
    <w:rsid w:val="007260FF"/>
    <w:rsid w:val="0073082C"/>
    <w:rsid w:val="00732338"/>
    <w:rsid w:val="00733434"/>
    <w:rsid w:val="007345D8"/>
    <w:rsid w:val="00735937"/>
    <w:rsid w:val="0073758A"/>
    <w:rsid w:val="007514CB"/>
    <w:rsid w:val="00760B23"/>
    <w:rsid w:val="00764288"/>
    <w:rsid w:val="007650AE"/>
    <w:rsid w:val="00766391"/>
    <w:rsid w:val="00773E4B"/>
    <w:rsid w:val="0078172C"/>
    <w:rsid w:val="00785D79"/>
    <w:rsid w:val="00787658"/>
    <w:rsid w:val="00787DA7"/>
    <w:rsid w:val="0079372C"/>
    <w:rsid w:val="0079429A"/>
    <w:rsid w:val="007A13C5"/>
    <w:rsid w:val="007B0D5E"/>
    <w:rsid w:val="007B510C"/>
    <w:rsid w:val="007C0CA1"/>
    <w:rsid w:val="007C2284"/>
    <w:rsid w:val="007C759A"/>
    <w:rsid w:val="007C7FDE"/>
    <w:rsid w:val="007D41EC"/>
    <w:rsid w:val="007D48BB"/>
    <w:rsid w:val="007E0AA7"/>
    <w:rsid w:val="007E213F"/>
    <w:rsid w:val="007E2405"/>
    <w:rsid w:val="007E2DF6"/>
    <w:rsid w:val="007E723E"/>
    <w:rsid w:val="007F0218"/>
    <w:rsid w:val="007F0740"/>
    <w:rsid w:val="007F25EF"/>
    <w:rsid w:val="007F30C7"/>
    <w:rsid w:val="007F34F0"/>
    <w:rsid w:val="007F7505"/>
    <w:rsid w:val="007F7E36"/>
    <w:rsid w:val="007F7F2C"/>
    <w:rsid w:val="00803FA0"/>
    <w:rsid w:val="00804083"/>
    <w:rsid w:val="0080763E"/>
    <w:rsid w:val="00817607"/>
    <w:rsid w:val="008228B0"/>
    <w:rsid w:val="00835D43"/>
    <w:rsid w:val="00841790"/>
    <w:rsid w:val="0084197E"/>
    <w:rsid w:val="0084480A"/>
    <w:rsid w:val="00846209"/>
    <w:rsid w:val="00856607"/>
    <w:rsid w:val="0085709E"/>
    <w:rsid w:val="00857106"/>
    <w:rsid w:val="00865BF3"/>
    <w:rsid w:val="008666A0"/>
    <w:rsid w:val="008703AE"/>
    <w:rsid w:val="00875D9D"/>
    <w:rsid w:val="0087634F"/>
    <w:rsid w:val="0087797E"/>
    <w:rsid w:val="00880DB1"/>
    <w:rsid w:val="00882390"/>
    <w:rsid w:val="0088277A"/>
    <w:rsid w:val="00882FE4"/>
    <w:rsid w:val="00885223"/>
    <w:rsid w:val="00886368"/>
    <w:rsid w:val="00887CF9"/>
    <w:rsid w:val="00890562"/>
    <w:rsid w:val="00895539"/>
    <w:rsid w:val="00897B68"/>
    <w:rsid w:val="008A15DE"/>
    <w:rsid w:val="008A4F6F"/>
    <w:rsid w:val="008A6753"/>
    <w:rsid w:val="008A6990"/>
    <w:rsid w:val="008A6F6B"/>
    <w:rsid w:val="008B2BFF"/>
    <w:rsid w:val="008B37FF"/>
    <w:rsid w:val="008B5751"/>
    <w:rsid w:val="008C187A"/>
    <w:rsid w:val="008C1ECC"/>
    <w:rsid w:val="008C2206"/>
    <w:rsid w:val="008C2BCF"/>
    <w:rsid w:val="008E1EF4"/>
    <w:rsid w:val="008E393F"/>
    <w:rsid w:val="008E7911"/>
    <w:rsid w:val="008F1CD9"/>
    <w:rsid w:val="008F4460"/>
    <w:rsid w:val="0090218F"/>
    <w:rsid w:val="009036A3"/>
    <w:rsid w:val="00905280"/>
    <w:rsid w:val="0090562B"/>
    <w:rsid w:val="00910096"/>
    <w:rsid w:val="00911342"/>
    <w:rsid w:val="00912BC3"/>
    <w:rsid w:val="00912CF1"/>
    <w:rsid w:val="00917590"/>
    <w:rsid w:val="00920997"/>
    <w:rsid w:val="00924A6E"/>
    <w:rsid w:val="009271BA"/>
    <w:rsid w:val="00927B05"/>
    <w:rsid w:val="009306C9"/>
    <w:rsid w:val="0093163A"/>
    <w:rsid w:val="0093747A"/>
    <w:rsid w:val="00937E22"/>
    <w:rsid w:val="0094075C"/>
    <w:rsid w:val="00942260"/>
    <w:rsid w:val="009460B5"/>
    <w:rsid w:val="0094767F"/>
    <w:rsid w:val="009479CD"/>
    <w:rsid w:val="0095125E"/>
    <w:rsid w:val="00952028"/>
    <w:rsid w:val="0095297E"/>
    <w:rsid w:val="009536EB"/>
    <w:rsid w:val="00956BED"/>
    <w:rsid w:val="0096468A"/>
    <w:rsid w:val="0096631C"/>
    <w:rsid w:val="00966877"/>
    <w:rsid w:val="0096687C"/>
    <w:rsid w:val="00966CD3"/>
    <w:rsid w:val="00967535"/>
    <w:rsid w:val="0097141E"/>
    <w:rsid w:val="0097259E"/>
    <w:rsid w:val="009762FC"/>
    <w:rsid w:val="00977DE7"/>
    <w:rsid w:val="009862F0"/>
    <w:rsid w:val="009912C5"/>
    <w:rsid w:val="009A1EA2"/>
    <w:rsid w:val="009A2412"/>
    <w:rsid w:val="009A453C"/>
    <w:rsid w:val="009A5EA0"/>
    <w:rsid w:val="009A6C84"/>
    <w:rsid w:val="009B2CF8"/>
    <w:rsid w:val="009B480D"/>
    <w:rsid w:val="009B4AB1"/>
    <w:rsid w:val="009C0AD1"/>
    <w:rsid w:val="009C6980"/>
    <w:rsid w:val="009C7253"/>
    <w:rsid w:val="009D0A75"/>
    <w:rsid w:val="009D661C"/>
    <w:rsid w:val="009E2028"/>
    <w:rsid w:val="009E3E31"/>
    <w:rsid w:val="009E4367"/>
    <w:rsid w:val="009E4A78"/>
    <w:rsid w:val="009E506A"/>
    <w:rsid w:val="009E64E0"/>
    <w:rsid w:val="009F010A"/>
    <w:rsid w:val="009F0D05"/>
    <w:rsid w:val="009F1A67"/>
    <w:rsid w:val="009F2104"/>
    <w:rsid w:val="009F53A5"/>
    <w:rsid w:val="00A0081A"/>
    <w:rsid w:val="00A00FB4"/>
    <w:rsid w:val="00A02560"/>
    <w:rsid w:val="00A02807"/>
    <w:rsid w:val="00A0695E"/>
    <w:rsid w:val="00A126B0"/>
    <w:rsid w:val="00A1302B"/>
    <w:rsid w:val="00A212E3"/>
    <w:rsid w:val="00A2451F"/>
    <w:rsid w:val="00A25371"/>
    <w:rsid w:val="00A25C57"/>
    <w:rsid w:val="00A33FE5"/>
    <w:rsid w:val="00A407AC"/>
    <w:rsid w:val="00A539A4"/>
    <w:rsid w:val="00A54ACE"/>
    <w:rsid w:val="00A60CDE"/>
    <w:rsid w:val="00A61DF4"/>
    <w:rsid w:val="00A620B4"/>
    <w:rsid w:val="00A675C7"/>
    <w:rsid w:val="00A707C5"/>
    <w:rsid w:val="00A72210"/>
    <w:rsid w:val="00A75B82"/>
    <w:rsid w:val="00A765AC"/>
    <w:rsid w:val="00A83A17"/>
    <w:rsid w:val="00A85027"/>
    <w:rsid w:val="00A8634F"/>
    <w:rsid w:val="00A87E15"/>
    <w:rsid w:val="00AA0064"/>
    <w:rsid w:val="00AA2C1B"/>
    <w:rsid w:val="00AA333A"/>
    <w:rsid w:val="00AA3CB7"/>
    <w:rsid w:val="00AA3FAE"/>
    <w:rsid w:val="00AA43E5"/>
    <w:rsid w:val="00AA6B43"/>
    <w:rsid w:val="00AA7EAE"/>
    <w:rsid w:val="00AB304B"/>
    <w:rsid w:val="00AC214F"/>
    <w:rsid w:val="00AC3051"/>
    <w:rsid w:val="00AC6372"/>
    <w:rsid w:val="00AC7A35"/>
    <w:rsid w:val="00AD301A"/>
    <w:rsid w:val="00AD7B57"/>
    <w:rsid w:val="00AE1953"/>
    <w:rsid w:val="00AE3826"/>
    <w:rsid w:val="00AE6011"/>
    <w:rsid w:val="00AE64E3"/>
    <w:rsid w:val="00AE6965"/>
    <w:rsid w:val="00AF1285"/>
    <w:rsid w:val="00AF2710"/>
    <w:rsid w:val="00B00FA0"/>
    <w:rsid w:val="00B03F05"/>
    <w:rsid w:val="00B205DD"/>
    <w:rsid w:val="00B21234"/>
    <w:rsid w:val="00B226EC"/>
    <w:rsid w:val="00B236AE"/>
    <w:rsid w:val="00B25068"/>
    <w:rsid w:val="00B25314"/>
    <w:rsid w:val="00B33EE7"/>
    <w:rsid w:val="00B36BE9"/>
    <w:rsid w:val="00B36DB5"/>
    <w:rsid w:val="00B403D4"/>
    <w:rsid w:val="00B475EE"/>
    <w:rsid w:val="00B51988"/>
    <w:rsid w:val="00B51A08"/>
    <w:rsid w:val="00B51B43"/>
    <w:rsid w:val="00B53140"/>
    <w:rsid w:val="00B5693F"/>
    <w:rsid w:val="00B63582"/>
    <w:rsid w:val="00B7290B"/>
    <w:rsid w:val="00B76C9C"/>
    <w:rsid w:val="00B80225"/>
    <w:rsid w:val="00B91029"/>
    <w:rsid w:val="00B936EA"/>
    <w:rsid w:val="00BA1A39"/>
    <w:rsid w:val="00BB03AA"/>
    <w:rsid w:val="00BB431B"/>
    <w:rsid w:val="00BB5315"/>
    <w:rsid w:val="00BC2F24"/>
    <w:rsid w:val="00BC4EA8"/>
    <w:rsid w:val="00BC5C55"/>
    <w:rsid w:val="00BC717B"/>
    <w:rsid w:val="00BD07F6"/>
    <w:rsid w:val="00BD3255"/>
    <w:rsid w:val="00BE1FB3"/>
    <w:rsid w:val="00BE3AF0"/>
    <w:rsid w:val="00BE3ECD"/>
    <w:rsid w:val="00BE56D3"/>
    <w:rsid w:val="00BE66BB"/>
    <w:rsid w:val="00BE7920"/>
    <w:rsid w:val="00C01CA9"/>
    <w:rsid w:val="00C0232F"/>
    <w:rsid w:val="00C0445B"/>
    <w:rsid w:val="00C07359"/>
    <w:rsid w:val="00C07627"/>
    <w:rsid w:val="00C137FC"/>
    <w:rsid w:val="00C1498E"/>
    <w:rsid w:val="00C16F07"/>
    <w:rsid w:val="00C220CF"/>
    <w:rsid w:val="00C25C60"/>
    <w:rsid w:val="00C3047B"/>
    <w:rsid w:val="00C31487"/>
    <w:rsid w:val="00C33EEF"/>
    <w:rsid w:val="00C35774"/>
    <w:rsid w:val="00C35973"/>
    <w:rsid w:val="00C44701"/>
    <w:rsid w:val="00C447AC"/>
    <w:rsid w:val="00C448F4"/>
    <w:rsid w:val="00C472BE"/>
    <w:rsid w:val="00C50F28"/>
    <w:rsid w:val="00C53D68"/>
    <w:rsid w:val="00C5700F"/>
    <w:rsid w:val="00C61623"/>
    <w:rsid w:val="00C65F68"/>
    <w:rsid w:val="00C663F0"/>
    <w:rsid w:val="00C70120"/>
    <w:rsid w:val="00C733E5"/>
    <w:rsid w:val="00C75852"/>
    <w:rsid w:val="00C758A1"/>
    <w:rsid w:val="00C81BA0"/>
    <w:rsid w:val="00C83745"/>
    <w:rsid w:val="00C84013"/>
    <w:rsid w:val="00C912E7"/>
    <w:rsid w:val="00C92F7E"/>
    <w:rsid w:val="00C93460"/>
    <w:rsid w:val="00C97A48"/>
    <w:rsid w:val="00CA11A4"/>
    <w:rsid w:val="00CA1662"/>
    <w:rsid w:val="00CA2F8B"/>
    <w:rsid w:val="00CB3AF7"/>
    <w:rsid w:val="00CB786B"/>
    <w:rsid w:val="00CC03CF"/>
    <w:rsid w:val="00CC1A0C"/>
    <w:rsid w:val="00CC4341"/>
    <w:rsid w:val="00CC5834"/>
    <w:rsid w:val="00CC5F4B"/>
    <w:rsid w:val="00CC62E8"/>
    <w:rsid w:val="00CC72B0"/>
    <w:rsid w:val="00CD0C0C"/>
    <w:rsid w:val="00CD3114"/>
    <w:rsid w:val="00CD729C"/>
    <w:rsid w:val="00CE298A"/>
    <w:rsid w:val="00CE3E0A"/>
    <w:rsid w:val="00CE565B"/>
    <w:rsid w:val="00CE7C33"/>
    <w:rsid w:val="00CF2621"/>
    <w:rsid w:val="00CF477A"/>
    <w:rsid w:val="00CF4D2F"/>
    <w:rsid w:val="00CF781D"/>
    <w:rsid w:val="00D01B08"/>
    <w:rsid w:val="00D02D3B"/>
    <w:rsid w:val="00D03534"/>
    <w:rsid w:val="00D104F6"/>
    <w:rsid w:val="00D13979"/>
    <w:rsid w:val="00D16925"/>
    <w:rsid w:val="00D20EDC"/>
    <w:rsid w:val="00D226CE"/>
    <w:rsid w:val="00D242C5"/>
    <w:rsid w:val="00D248E0"/>
    <w:rsid w:val="00D24D72"/>
    <w:rsid w:val="00D26BF2"/>
    <w:rsid w:val="00D26F6E"/>
    <w:rsid w:val="00D27F50"/>
    <w:rsid w:val="00D35939"/>
    <w:rsid w:val="00D43587"/>
    <w:rsid w:val="00D43FDB"/>
    <w:rsid w:val="00D45C4F"/>
    <w:rsid w:val="00D526C9"/>
    <w:rsid w:val="00D533AB"/>
    <w:rsid w:val="00D5676C"/>
    <w:rsid w:val="00D577F8"/>
    <w:rsid w:val="00D57EF6"/>
    <w:rsid w:val="00D6107C"/>
    <w:rsid w:val="00D635A8"/>
    <w:rsid w:val="00D73418"/>
    <w:rsid w:val="00D74DD4"/>
    <w:rsid w:val="00D75DA1"/>
    <w:rsid w:val="00D76F6E"/>
    <w:rsid w:val="00D801F5"/>
    <w:rsid w:val="00D851CA"/>
    <w:rsid w:val="00D85925"/>
    <w:rsid w:val="00D869B7"/>
    <w:rsid w:val="00D92865"/>
    <w:rsid w:val="00D95016"/>
    <w:rsid w:val="00D956D6"/>
    <w:rsid w:val="00D96DF4"/>
    <w:rsid w:val="00D971A3"/>
    <w:rsid w:val="00D9742C"/>
    <w:rsid w:val="00DA0578"/>
    <w:rsid w:val="00DA4EBC"/>
    <w:rsid w:val="00DA6317"/>
    <w:rsid w:val="00DB020D"/>
    <w:rsid w:val="00DB113C"/>
    <w:rsid w:val="00DB22CF"/>
    <w:rsid w:val="00DB5E41"/>
    <w:rsid w:val="00DC00CD"/>
    <w:rsid w:val="00DC0D46"/>
    <w:rsid w:val="00DC21C1"/>
    <w:rsid w:val="00DC2554"/>
    <w:rsid w:val="00DC27A2"/>
    <w:rsid w:val="00DC2B66"/>
    <w:rsid w:val="00DC3576"/>
    <w:rsid w:val="00DC494E"/>
    <w:rsid w:val="00DC4A89"/>
    <w:rsid w:val="00DD4A2B"/>
    <w:rsid w:val="00DD4FF8"/>
    <w:rsid w:val="00DE15ED"/>
    <w:rsid w:val="00DE44DC"/>
    <w:rsid w:val="00DF1E8D"/>
    <w:rsid w:val="00DF66F0"/>
    <w:rsid w:val="00DF6E59"/>
    <w:rsid w:val="00DF760F"/>
    <w:rsid w:val="00E00799"/>
    <w:rsid w:val="00E00E64"/>
    <w:rsid w:val="00E026F9"/>
    <w:rsid w:val="00E053C3"/>
    <w:rsid w:val="00E05A10"/>
    <w:rsid w:val="00E063C8"/>
    <w:rsid w:val="00E06C9B"/>
    <w:rsid w:val="00E13436"/>
    <w:rsid w:val="00E15030"/>
    <w:rsid w:val="00E22EFA"/>
    <w:rsid w:val="00E2767D"/>
    <w:rsid w:val="00E27EA4"/>
    <w:rsid w:val="00E345CB"/>
    <w:rsid w:val="00E3573E"/>
    <w:rsid w:val="00E37BD6"/>
    <w:rsid w:val="00E45A53"/>
    <w:rsid w:val="00E51052"/>
    <w:rsid w:val="00E52A20"/>
    <w:rsid w:val="00E55256"/>
    <w:rsid w:val="00E55CE1"/>
    <w:rsid w:val="00E55D1E"/>
    <w:rsid w:val="00E616FB"/>
    <w:rsid w:val="00E62A8E"/>
    <w:rsid w:val="00E673B3"/>
    <w:rsid w:val="00E67471"/>
    <w:rsid w:val="00E730BA"/>
    <w:rsid w:val="00E75FF9"/>
    <w:rsid w:val="00E76D60"/>
    <w:rsid w:val="00E8113F"/>
    <w:rsid w:val="00E86B58"/>
    <w:rsid w:val="00E87FD6"/>
    <w:rsid w:val="00E96256"/>
    <w:rsid w:val="00EA3E46"/>
    <w:rsid w:val="00EA7B56"/>
    <w:rsid w:val="00EB0F40"/>
    <w:rsid w:val="00EB1001"/>
    <w:rsid w:val="00EB4E5F"/>
    <w:rsid w:val="00EB6CFC"/>
    <w:rsid w:val="00EC77A0"/>
    <w:rsid w:val="00EE1F08"/>
    <w:rsid w:val="00EE29DC"/>
    <w:rsid w:val="00EE3198"/>
    <w:rsid w:val="00EE4D51"/>
    <w:rsid w:val="00EE70D6"/>
    <w:rsid w:val="00EF0E7E"/>
    <w:rsid w:val="00EF576D"/>
    <w:rsid w:val="00EF57C9"/>
    <w:rsid w:val="00F00BFF"/>
    <w:rsid w:val="00F017C8"/>
    <w:rsid w:val="00F02242"/>
    <w:rsid w:val="00F02CF5"/>
    <w:rsid w:val="00F03209"/>
    <w:rsid w:val="00F0569A"/>
    <w:rsid w:val="00F06A89"/>
    <w:rsid w:val="00F06CD6"/>
    <w:rsid w:val="00F11603"/>
    <w:rsid w:val="00F119B3"/>
    <w:rsid w:val="00F15BDB"/>
    <w:rsid w:val="00F22551"/>
    <w:rsid w:val="00F23BB4"/>
    <w:rsid w:val="00F23F71"/>
    <w:rsid w:val="00F2498B"/>
    <w:rsid w:val="00F27DE5"/>
    <w:rsid w:val="00F31514"/>
    <w:rsid w:val="00F35A58"/>
    <w:rsid w:val="00F376F2"/>
    <w:rsid w:val="00F37BD9"/>
    <w:rsid w:val="00F37C75"/>
    <w:rsid w:val="00F41CAD"/>
    <w:rsid w:val="00F437EA"/>
    <w:rsid w:val="00F52357"/>
    <w:rsid w:val="00F55239"/>
    <w:rsid w:val="00F5677C"/>
    <w:rsid w:val="00F56AEB"/>
    <w:rsid w:val="00F56B33"/>
    <w:rsid w:val="00F572B4"/>
    <w:rsid w:val="00F612F9"/>
    <w:rsid w:val="00F6131B"/>
    <w:rsid w:val="00F62D40"/>
    <w:rsid w:val="00F65F71"/>
    <w:rsid w:val="00F71128"/>
    <w:rsid w:val="00F7376B"/>
    <w:rsid w:val="00F75A55"/>
    <w:rsid w:val="00F769C9"/>
    <w:rsid w:val="00F77E5C"/>
    <w:rsid w:val="00F77FD7"/>
    <w:rsid w:val="00F83896"/>
    <w:rsid w:val="00F838A4"/>
    <w:rsid w:val="00F862F2"/>
    <w:rsid w:val="00F90279"/>
    <w:rsid w:val="00F910F0"/>
    <w:rsid w:val="00F91AD1"/>
    <w:rsid w:val="00F961F5"/>
    <w:rsid w:val="00FA19E0"/>
    <w:rsid w:val="00FA25E1"/>
    <w:rsid w:val="00FA440F"/>
    <w:rsid w:val="00FB2DC5"/>
    <w:rsid w:val="00FB7488"/>
    <w:rsid w:val="00FC144A"/>
    <w:rsid w:val="00FC1D89"/>
    <w:rsid w:val="00FC3621"/>
    <w:rsid w:val="00FC4A3C"/>
    <w:rsid w:val="00FC6BB4"/>
    <w:rsid w:val="00FD7D72"/>
    <w:rsid w:val="00FE008A"/>
    <w:rsid w:val="00FE092E"/>
    <w:rsid w:val="00FE259C"/>
    <w:rsid w:val="00FE796C"/>
    <w:rsid w:val="00FF1C80"/>
    <w:rsid w:val="00FF2385"/>
    <w:rsid w:val="00FF4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EC6354"/>
  <w15:chartTrackingRefBased/>
  <w15:docId w15:val="{1276B771-834B-4A4F-948C-F54680CA2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A3FA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A3FAE"/>
    <w:rPr>
      <w:sz w:val="18"/>
      <w:szCs w:val="18"/>
    </w:rPr>
  </w:style>
  <w:style w:type="paragraph" w:styleId="a5">
    <w:name w:val="footer"/>
    <w:basedOn w:val="a"/>
    <w:link w:val="a6"/>
    <w:uiPriority w:val="99"/>
    <w:unhideWhenUsed/>
    <w:rsid w:val="00AA3FAE"/>
    <w:pPr>
      <w:tabs>
        <w:tab w:val="center" w:pos="4153"/>
        <w:tab w:val="right" w:pos="8306"/>
      </w:tabs>
      <w:snapToGrid w:val="0"/>
      <w:jc w:val="left"/>
    </w:pPr>
    <w:rPr>
      <w:sz w:val="18"/>
      <w:szCs w:val="18"/>
    </w:rPr>
  </w:style>
  <w:style w:type="character" w:customStyle="1" w:styleId="a6">
    <w:name w:val="页脚 字符"/>
    <w:basedOn w:val="a0"/>
    <w:link w:val="a5"/>
    <w:uiPriority w:val="99"/>
    <w:rsid w:val="00AA3FAE"/>
    <w:rPr>
      <w:sz w:val="18"/>
      <w:szCs w:val="18"/>
    </w:rPr>
  </w:style>
  <w:style w:type="character" w:styleId="a7">
    <w:name w:val="page number"/>
    <w:semiHidden/>
    <w:rsid w:val="00AA3FAE"/>
  </w:style>
  <w:style w:type="paragraph" w:styleId="a8">
    <w:name w:val="Balloon Text"/>
    <w:basedOn w:val="a"/>
    <w:link w:val="a9"/>
    <w:uiPriority w:val="99"/>
    <w:semiHidden/>
    <w:unhideWhenUsed/>
    <w:rsid w:val="00F52357"/>
    <w:rPr>
      <w:sz w:val="18"/>
      <w:szCs w:val="18"/>
    </w:rPr>
  </w:style>
  <w:style w:type="character" w:customStyle="1" w:styleId="a9">
    <w:name w:val="批注框文本 字符"/>
    <w:basedOn w:val="a0"/>
    <w:link w:val="a8"/>
    <w:uiPriority w:val="99"/>
    <w:semiHidden/>
    <w:rsid w:val="00F52357"/>
    <w:rPr>
      <w:sz w:val="18"/>
      <w:szCs w:val="18"/>
    </w:rPr>
  </w:style>
  <w:style w:type="character" w:styleId="aa">
    <w:name w:val="annotation reference"/>
    <w:basedOn w:val="a0"/>
    <w:uiPriority w:val="99"/>
    <w:semiHidden/>
    <w:unhideWhenUsed/>
    <w:rsid w:val="000566E1"/>
    <w:rPr>
      <w:sz w:val="21"/>
      <w:szCs w:val="21"/>
    </w:rPr>
  </w:style>
  <w:style w:type="table" w:styleId="ab">
    <w:name w:val="Table Grid"/>
    <w:basedOn w:val="a1"/>
    <w:uiPriority w:val="39"/>
    <w:rsid w:val="00C53D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064FA3"/>
    <w:pPr>
      <w:ind w:firstLineChars="200" w:firstLine="420"/>
    </w:pPr>
  </w:style>
  <w:style w:type="paragraph" w:styleId="ad">
    <w:name w:val="annotation text"/>
    <w:basedOn w:val="a"/>
    <w:link w:val="ae"/>
    <w:uiPriority w:val="99"/>
    <w:semiHidden/>
    <w:unhideWhenUsed/>
    <w:rsid w:val="00AF2710"/>
    <w:pPr>
      <w:jc w:val="left"/>
    </w:pPr>
  </w:style>
  <w:style w:type="character" w:customStyle="1" w:styleId="ae">
    <w:name w:val="批注文字 字符"/>
    <w:basedOn w:val="a0"/>
    <w:link w:val="ad"/>
    <w:uiPriority w:val="99"/>
    <w:semiHidden/>
    <w:rsid w:val="00AF2710"/>
  </w:style>
  <w:style w:type="paragraph" w:styleId="af">
    <w:name w:val="annotation subject"/>
    <w:basedOn w:val="ad"/>
    <w:next w:val="ad"/>
    <w:link w:val="af0"/>
    <w:uiPriority w:val="99"/>
    <w:semiHidden/>
    <w:unhideWhenUsed/>
    <w:rsid w:val="00AF2710"/>
    <w:rPr>
      <w:b/>
      <w:bCs/>
    </w:rPr>
  </w:style>
  <w:style w:type="character" w:customStyle="1" w:styleId="af0">
    <w:name w:val="批注主题 字符"/>
    <w:basedOn w:val="ae"/>
    <w:link w:val="af"/>
    <w:uiPriority w:val="99"/>
    <w:semiHidden/>
    <w:rsid w:val="00AF2710"/>
    <w:rPr>
      <w:b/>
      <w:bCs/>
    </w:rPr>
  </w:style>
  <w:style w:type="paragraph" w:customStyle="1" w:styleId="Agreement">
    <w:name w:val="Agreement"/>
    <w:basedOn w:val="a"/>
    <w:next w:val="a"/>
    <w:uiPriority w:val="99"/>
    <w:qFormat/>
    <w:rsid w:val="00927B05"/>
    <w:pPr>
      <w:widowControl/>
      <w:numPr>
        <w:numId w:val="6"/>
      </w:numPr>
      <w:spacing w:before="60"/>
      <w:jc w:val="left"/>
    </w:pPr>
    <w:rPr>
      <w:rFonts w:ascii="Arial" w:eastAsia="MS Mincho" w:hAnsi="Arial" w:cs="Times New Roman"/>
      <w:b/>
      <w:kern w:val="0"/>
      <w:sz w:val="20"/>
      <w:szCs w:val="24"/>
      <w:lang w:val="en-GB" w:eastAsia="en-GB"/>
    </w:rPr>
  </w:style>
  <w:style w:type="paragraph" w:customStyle="1" w:styleId="B1">
    <w:name w:val="B1"/>
    <w:basedOn w:val="af1"/>
    <w:link w:val="B1Char1"/>
    <w:rsid w:val="00B80225"/>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paragraph" w:customStyle="1" w:styleId="B2">
    <w:name w:val="B2"/>
    <w:basedOn w:val="2"/>
    <w:link w:val="B2Char"/>
    <w:rsid w:val="00B80225"/>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1Char1">
    <w:name w:val="B1 Char1"/>
    <w:link w:val="B1"/>
    <w:locked/>
    <w:rsid w:val="00B80225"/>
    <w:rPr>
      <w:rFonts w:ascii="Times New Roman" w:eastAsia="Times New Roman" w:hAnsi="Times New Roman" w:cs="Times New Roman"/>
      <w:kern w:val="0"/>
      <w:sz w:val="20"/>
      <w:szCs w:val="20"/>
      <w:lang w:val="en-GB" w:eastAsia="ja-JP"/>
    </w:rPr>
  </w:style>
  <w:style w:type="character" w:customStyle="1" w:styleId="B2Char">
    <w:name w:val="B2 Char"/>
    <w:link w:val="B2"/>
    <w:qFormat/>
    <w:locked/>
    <w:rsid w:val="00B80225"/>
    <w:rPr>
      <w:rFonts w:ascii="Times New Roman" w:eastAsia="Times New Roman" w:hAnsi="Times New Roman" w:cs="Times New Roman"/>
      <w:kern w:val="0"/>
      <w:sz w:val="20"/>
      <w:szCs w:val="20"/>
      <w:lang w:val="en-GB" w:eastAsia="ja-JP"/>
    </w:rPr>
  </w:style>
  <w:style w:type="paragraph" w:styleId="af1">
    <w:name w:val="List"/>
    <w:basedOn w:val="a"/>
    <w:uiPriority w:val="99"/>
    <w:semiHidden/>
    <w:unhideWhenUsed/>
    <w:rsid w:val="00B80225"/>
    <w:pPr>
      <w:ind w:left="200" w:hangingChars="200" w:hanging="200"/>
      <w:contextualSpacing/>
    </w:pPr>
  </w:style>
  <w:style w:type="paragraph" w:styleId="2">
    <w:name w:val="List 2"/>
    <w:basedOn w:val="a"/>
    <w:uiPriority w:val="99"/>
    <w:semiHidden/>
    <w:unhideWhenUsed/>
    <w:rsid w:val="00B80225"/>
    <w:pPr>
      <w:ind w:leftChars="200" w:left="100" w:hangingChars="200" w:hanging="200"/>
      <w:contextualSpacing/>
    </w:pPr>
  </w:style>
  <w:style w:type="paragraph" w:styleId="af2">
    <w:name w:val="Normal (Web)"/>
    <w:basedOn w:val="a"/>
    <w:uiPriority w:val="99"/>
    <w:unhideWhenUsed/>
    <w:rsid w:val="003C5399"/>
    <w:pPr>
      <w:widowControl/>
      <w:spacing w:before="100" w:beforeAutospacing="1" w:after="100" w:afterAutospacing="1"/>
      <w:jc w:val="left"/>
    </w:pPr>
    <w:rPr>
      <w:rFonts w:ascii="宋体" w:eastAsia="宋体" w:hAnsi="宋体" w:cs="宋体"/>
      <w:kern w:val="0"/>
      <w:sz w:val="24"/>
      <w:szCs w:val="24"/>
    </w:rPr>
  </w:style>
  <w:style w:type="paragraph" w:customStyle="1" w:styleId="maintext">
    <w:name w:val="main text"/>
    <w:basedOn w:val="a"/>
    <w:link w:val="maintextChar"/>
    <w:qFormat/>
    <w:rsid w:val="00712DD9"/>
    <w:pPr>
      <w:widowControl/>
      <w:spacing w:before="60" w:after="60" w:line="288" w:lineRule="auto"/>
      <w:ind w:firstLineChars="200" w:firstLine="200"/>
    </w:pPr>
    <w:rPr>
      <w:rFonts w:ascii="Times New Roman" w:eastAsia="Malgun Gothic" w:hAnsi="Times New Roman" w:cs="Batang"/>
      <w:kern w:val="0"/>
      <w:sz w:val="20"/>
      <w:szCs w:val="20"/>
      <w:lang w:val="en-GB" w:eastAsia="ko-KR"/>
    </w:rPr>
  </w:style>
  <w:style w:type="character" w:customStyle="1" w:styleId="maintextChar">
    <w:name w:val="main text Char"/>
    <w:link w:val="maintext"/>
    <w:qFormat/>
    <w:rsid w:val="00712DD9"/>
    <w:rPr>
      <w:rFonts w:ascii="Times New Roman" w:eastAsia="Malgun Gothic" w:hAnsi="Times New Roman" w:cs="Batang"/>
      <w:kern w:val="0"/>
      <w:sz w:val="20"/>
      <w:szCs w:val="20"/>
      <w:lang w:val="en-GB" w:eastAsia="ko-KR"/>
    </w:rPr>
  </w:style>
  <w:style w:type="paragraph" w:customStyle="1" w:styleId="Doc-text2">
    <w:name w:val="Doc-text2"/>
    <w:basedOn w:val="a"/>
    <w:link w:val="Doc-text2Char"/>
    <w:qFormat/>
    <w:rsid w:val="00657ABB"/>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657ABB"/>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906155">
      <w:bodyDiv w:val="1"/>
      <w:marLeft w:val="0"/>
      <w:marRight w:val="0"/>
      <w:marTop w:val="0"/>
      <w:marBottom w:val="0"/>
      <w:divBdr>
        <w:top w:val="none" w:sz="0" w:space="0" w:color="auto"/>
        <w:left w:val="none" w:sz="0" w:space="0" w:color="auto"/>
        <w:bottom w:val="none" w:sz="0" w:space="0" w:color="auto"/>
        <w:right w:val="none" w:sz="0" w:space="0" w:color="auto"/>
      </w:divBdr>
    </w:div>
    <w:div w:id="313146591">
      <w:bodyDiv w:val="1"/>
      <w:marLeft w:val="0"/>
      <w:marRight w:val="0"/>
      <w:marTop w:val="0"/>
      <w:marBottom w:val="0"/>
      <w:divBdr>
        <w:top w:val="none" w:sz="0" w:space="0" w:color="auto"/>
        <w:left w:val="none" w:sz="0" w:space="0" w:color="auto"/>
        <w:bottom w:val="none" w:sz="0" w:space="0" w:color="auto"/>
        <w:right w:val="none" w:sz="0" w:space="0" w:color="auto"/>
      </w:divBdr>
    </w:div>
    <w:div w:id="775098122">
      <w:bodyDiv w:val="1"/>
      <w:marLeft w:val="0"/>
      <w:marRight w:val="0"/>
      <w:marTop w:val="0"/>
      <w:marBottom w:val="0"/>
      <w:divBdr>
        <w:top w:val="none" w:sz="0" w:space="0" w:color="auto"/>
        <w:left w:val="none" w:sz="0" w:space="0" w:color="auto"/>
        <w:bottom w:val="none" w:sz="0" w:space="0" w:color="auto"/>
        <w:right w:val="none" w:sz="0" w:space="0" w:color="auto"/>
      </w:divBdr>
    </w:div>
    <w:div w:id="857885283">
      <w:bodyDiv w:val="1"/>
      <w:marLeft w:val="0"/>
      <w:marRight w:val="0"/>
      <w:marTop w:val="0"/>
      <w:marBottom w:val="0"/>
      <w:divBdr>
        <w:top w:val="none" w:sz="0" w:space="0" w:color="auto"/>
        <w:left w:val="none" w:sz="0" w:space="0" w:color="auto"/>
        <w:bottom w:val="none" w:sz="0" w:space="0" w:color="auto"/>
        <w:right w:val="none" w:sz="0" w:space="0" w:color="auto"/>
      </w:divBdr>
    </w:div>
    <w:div w:id="901251455">
      <w:bodyDiv w:val="1"/>
      <w:marLeft w:val="0"/>
      <w:marRight w:val="0"/>
      <w:marTop w:val="0"/>
      <w:marBottom w:val="0"/>
      <w:divBdr>
        <w:top w:val="none" w:sz="0" w:space="0" w:color="auto"/>
        <w:left w:val="none" w:sz="0" w:space="0" w:color="auto"/>
        <w:bottom w:val="none" w:sz="0" w:space="0" w:color="auto"/>
        <w:right w:val="none" w:sz="0" w:space="0" w:color="auto"/>
      </w:divBdr>
    </w:div>
    <w:div w:id="1132601261">
      <w:bodyDiv w:val="1"/>
      <w:marLeft w:val="0"/>
      <w:marRight w:val="0"/>
      <w:marTop w:val="0"/>
      <w:marBottom w:val="0"/>
      <w:divBdr>
        <w:top w:val="none" w:sz="0" w:space="0" w:color="auto"/>
        <w:left w:val="none" w:sz="0" w:space="0" w:color="auto"/>
        <w:bottom w:val="none" w:sz="0" w:space="0" w:color="auto"/>
        <w:right w:val="none" w:sz="0" w:space="0" w:color="auto"/>
      </w:divBdr>
    </w:div>
    <w:div w:id="1349791408">
      <w:bodyDiv w:val="1"/>
      <w:marLeft w:val="0"/>
      <w:marRight w:val="0"/>
      <w:marTop w:val="0"/>
      <w:marBottom w:val="0"/>
      <w:divBdr>
        <w:top w:val="none" w:sz="0" w:space="0" w:color="auto"/>
        <w:left w:val="none" w:sz="0" w:space="0" w:color="auto"/>
        <w:bottom w:val="none" w:sz="0" w:space="0" w:color="auto"/>
        <w:right w:val="none" w:sz="0" w:space="0" w:color="auto"/>
      </w:divBdr>
    </w:div>
    <w:div w:id="1619217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113F0C-EC81-4187-A1D5-F48B8820B7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3507</TotalTime>
  <Pages>3</Pages>
  <Words>1504</Words>
  <Characters>8573</Characters>
  <Application>Microsoft Office Word</Application>
  <DocSecurity>0</DocSecurity>
  <Lines>71</Lines>
  <Paragraphs>20</Paragraphs>
  <ScaleCrop>false</ScaleCrop>
  <Company/>
  <LinksUpToDate>false</LinksUpToDate>
  <CharactersWithSpaces>10057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Yibin YB1 Zhuo</dc:creator>
  <cp:keywords/>
  <dc:description/>
  <cp:lastModifiedBy>Yibin</cp:lastModifiedBy>
  <cp:revision>644</cp:revision>
  <dcterms:created xsi:type="dcterms:W3CDTF">2021-01-15T02:11:00Z</dcterms:created>
  <dcterms:modified xsi:type="dcterms:W3CDTF">2023-04-07T01:33:00Z</dcterms:modified>
</cp:coreProperties>
</file>